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_GB2312" w:hAnsi="仿宋_GB2312" w:eastAsia="仿宋_GB2312" w:cs="仿宋_GB2312"/>
          <w:b/>
          <w:spacing w:val="76"/>
          <w:sz w:val="24"/>
        </w:rPr>
      </w:pPr>
      <w:r>
        <w:rPr>
          <w:rFonts w:hint="eastAsia" w:ascii="仿宋_GB2312" w:hAnsi="仿宋_GB2312" w:eastAsia="仿宋_GB2312" w:cs="仿宋_GB2312"/>
          <w:b/>
          <w:spacing w:val="76"/>
          <w:sz w:val="24"/>
        </w:rPr>
      </w:r>
      <w:r/>
    </w:p>
    <w:p>
      <w:pPr>
        <w:pStyle w:val="786"/>
        <w:jc w:val="center"/>
        <w:spacing w:line="920" w:lineRule="exact"/>
        <w:rPr>
          <w:rFonts w:hint="eastAsia" w:ascii="仿宋_GB2312" w:hAnsi="仿宋_GB2312" w:eastAsia="仿宋_GB2312" w:cs="仿宋_GB2312"/>
          <w:b/>
          <w:color w:val="auto"/>
          <w:sz w:val="72"/>
          <w:szCs w:val="72"/>
          <w:highlight w:val="none"/>
        </w:rPr>
      </w:pPr>
      <w:r>
        <w:rPr>
          <w:rFonts w:hint="eastAsia" w:ascii="仿宋_GB2312" w:hAnsi="仿宋_GB2312" w:eastAsia="仿宋_GB2312" w:cs="仿宋_GB2312"/>
          <w:b/>
          <w:color w:val="auto"/>
          <w:sz w:val="72"/>
          <w:szCs w:val="72"/>
          <w:highlight w:val="none"/>
        </w:rPr>
      </w:r>
      <w:r/>
    </w:p>
    <w:p>
      <w:pPr>
        <w:pStyle w:val="786"/>
        <w:jc w:val="center"/>
        <w:spacing w:line="920" w:lineRule="exact"/>
        <w:rPr>
          <w:rFonts w:hint="eastAsia" w:ascii="仿宋_GB2312" w:hAnsi="仿宋_GB2312" w:eastAsia="仿宋_GB2312" w:cs="仿宋_GB2312"/>
          <w:b/>
          <w:color w:val="auto"/>
          <w:spacing w:val="-20"/>
          <w:sz w:val="72"/>
          <w:szCs w:val="72"/>
          <w:highlight w:val="none"/>
        </w:rPr>
      </w:pPr>
      <w:r>
        <w:rPr>
          <w:rFonts w:hint="eastAsia" w:ascii="仿宋_GB2312" w:hAnsi="仿宋_GB2312" w:eastAsia="仿宋_GB2312" w:cs="仿宋_GB2312"/>
          <w:b/>
          <w:color w:val="auto"/>
          <w:sz w:val="72"/>
          <w:szCs w:val="72"/>
          <w:highlight w:val="none"/>
        </w:rPr>
        <w:t xml:space="preserve">竞争性磋商文件</w:t>
      </w:r>
      <w:r>
        <w:rPr>
          <w:rFonts w:hint="eastAsia" w:ascii="仿宋_GB2312" w:hAnsi="仿宋_GB2312" w:eastAsia="仿宋_GB2312" w:cs="仿宋_GB2312"/>
          <w:b/>
          <w:color w:val="auto"/>
          <w:spacing w:val="-20"/>
          <w:sz w:val="72"/>
          <w:szCs w:val="72"/>
          <w:highlight w:val="none"/>
        </w:rPr>
        <w:t xml:space="preserve"> </w:t>
      </w:r>
      <w:r/>
    </w:p>
    <w:p>
      <w:pPr>
        <w:pStyle w:val="786"/>
        <w:jc w:val="left"/>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w:t>
      </w:r>
      <w:r/>
    </w:p>
    <w:p>
      <w:pPr>
        <w:pStyle w:val="798"/>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w:t>
      </w:r>
      <w:r/>
    </w:p>
    <w:p>
      <w:pPr>
        <w:pStyle w:val="786"/>
        <w:jc w:val="left"/>
        <w:spacing w:line="9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1337310</wp:posOffset>
                </wp:positionH>
                <wp:positionV relativeFrom="paragraph">
                  <wp:posOffset>110490</wp:posOffset>
                </wp:positionV>
                <wp:extent cx="2657475" cy="2209800"/>
                <wp:effectExtent l="0" t="0" r="9525" b="0"/>
                <wp:wrapTopAndBottom/>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16"/>
                        <a:stretch/>
                      </pic:blipFill>
                      <pic:spPr bwMode="auto">
                        <a:xfrm>
                          <a:off x="0" y="0"/>
                          <a:ext cx="2657475" cy="2209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105.3pt;mso-position-horizontal:absolute;mso-position-vertical-relative:text;margin-top:8.7pt;mso-position-vertical:absolute;width:209.2pt;height:174.0pt;mso-wrap-distance-left:9.0pt;mso-wrap-distance-top:0.0pt;mso-wrap-distance-right:9.0pt;mso-wrap-distance-bottom:0.0pt;" stroked="f">
                <v:path textboxrect="0,0,0,0"/>
                <w10:wrap type="topAndBottom"/>
                <v:imagedata r:id="rId16" o:title=""/>
              </v:shape>
            </w:pict>
          </mc:Fallback>
        </mc:AlternateContent>
      </w:r>
      <w:r/>
    </w:p>
    <w:p>
      <w:pPr>
        <w:pStyle w:val="798"/>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r>
      <w:r/>
    </w:p>
    <w:p>
      <w:pPr>
        <w:pStyle w:val="786"/>
        <w:ind w:firstLine="2380"/>
        <w:spacing w:line="960" w:lineRule="exact"/>
        <w:rPr>
          <w:rFonts w:hint="eastAsia" w:ascii="仿宋_GB2312" w:hAnsi="仿宋_GB2312" w:eastAsia="仿宋_GB2312" w:cs="仿宋_GB2312"/>
          <w:sz w:val="24"/>
        </w:rPr>
      </w:pPr>
      <w:r>
        <w:rPr>
          <w:rFonts w:hint="eastAsia" w:ascii="仿宋_GB2312" w:hAnsi="仿宋_GB2312" w:eastAsia="仿宋_GB2312" w:cs="仿宋_GB2312"/>
          <w:bCs/>
          <w:color w:val="auto"/>
          <w:sz w:val="32"/>
          <w:szCs w:val="32"/>
          <w:highlight w:val="none"/>
          <w:lang w:val="en-US" w:eastAsia="zh-CN"/>
        </w:rPr>
        <w:t xml:space="preserve"> </w:t>
      </w:r>
      <w:r/>
    </w:p>
    <w:p>
      <w:pPr>
        <w:pStyle w:val="968"/>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968"/>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1205"/>
        <w:jc w:val="left"/>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项目编号：</w:t>
      </w:r>
      <w:bookmarkStart w:id="0" w:name="OLE_LINK1"/>
      <w:r>
        <w:rPr>
          <w:rFonts w:hint="eastAsia" w:ascii="仿宋_GB2312" w:hAnsi="仿宋_GB2312" w:eastAsia="仿宋_GB2312" w:cs="仿宋_GB2312"/>
          <w:b/>
          <w:bCs/>
          <w:sz w:val="30"/>
          <w:szCs w:val="30"/>
          <w:lang w:val="en-US" w:eastAsia="zh-CN"/>
        </w:rPr>
        <w:t xml:space="preserve">JSZC-320381-WYZJ-C2025-0023</w:t>
      </w:r>
      <w:bookmarkEnd w:id="0"/>
      <w:r/>
    </w:p>
    <w:p>
      <w:pPr>
        <w:ind w:firstLine="1205"/>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30"/>
          <w:szCs w:val="30"/>
          <w:lang w:val="en-US" w:eastAsia="zh-CN"/>
        </w:rPr>
        <w:t xml:space="preserve">项目名称：新沂市国土变更调查及日常变更调查项目</w:t>
      </w:r>
      <w:r/>
    </w:p>
    <w:p>
      <w:pPr>
        <w:ind w:firstLine="1205"/>
        <w:jc w:val="left"/>
        <w:spacing w:line="360" w:lineRule="auto"/>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 xml:space="preserve">采 购 人：新沂市</w:t>
      </w:r>
      <w:bookmarkStart w:id="9" w:name="_GoBack"/>
      <w:r/>
      <w:bookmarkEnd w:id="9"/>
      <w:r>
        <w:rPr>
          <w:rFonts w:hint="eastAsia" w:ascii="仿宋_GB2312" w:hAnsi="仿宋_GB2312" w:eastAsia="仿宋_GB2312" w:cs="仿宋_GB2312"/>
          <w:b/>
          <w:bCs/>
          <w:sz w:val="30"/>
          <w:szCs w:val="30"/>
        </w:rPr>
        <w:t xml:space="preserve">自然资源和规划局</w:t>
      </w:r>
      <w:r/>
    </w:p>
    <w:p>
      <w:pPr>
        <w:ind w:firstLine="1205"/>
        <w:jc w:val="left"/>
        <w:spacing w:line="360" w:lineRule="auto"/>
        <w:rPr>
          <w:rFonts w:hint="eastAsia" w:ascii="仿宋_GB2312" w:hAnsi="仿宋_GB2312" w:eastAsia="仿宋_GB2312" w:cs="仿宋_GB2312"/>
          <w:b/>
          <w:bCs/>
          <w:sz w:val="30"/>
          <w:szCs w:val="30"/>
          <w:lang w:eastAsia="zh-CN"/>
        </w:rPr>
      </w:pPr>
      <w:r>
        <w:rPr>
          <w:rFonts w:hint="eastAsia" w:ascii="仿宋_GB2312" w:hAnsi="仿宋_GB2312" w:eastAsia="仿宋_GB2312" w:cs="仿宋_GB2312"/>
          <w:b/>
          <w:bCs/>
          <w:sz w:val="30"/>
          <w:szCs w:val="30"/>
        </w:rPr>
        <w:t xml:space="preserve">代理机构：</w:t>
      </w:r>
      <w:r>
        <w:rPr>
          <w:rFonts w:hint="eastAsia" w:ascii="仿宋_GB2312" w:hAnsi="仿宋_GB2312" w:eastAsia="仿宋_GB2312" w:cs="仿宋_GB2312"/>
          <w:b/>
          <w:bCs/>
          <w:sz w:val="30"/>
          <w:szCs w:val="30"/>
          <w:lang w:eastAsia="zh-CN"/>
        </w:rPr>
        <w:t xml:space="preserve">江苏伟业房地产土地评估造价咨询有限公司</w:t>
      </w:r>
      <w:r/>
    </w:p>
    <w:p>
      <w:pPr>
        <w:ind w:firstLine="1205"/>
        <w:jc w:val="left"/>
        <w:spacing w:line="360" w:lineRule="auto"/>
        <w:rPr>
          <w:rFonts w:hint="eastAsia" w:ascii="仿宋_GB2312" w:hAnsi="仿宋_GB2312" w:eastAsia="仿宋_GB2312" w:cs="仿宋_GB2312"/>
        </w:rPr>
        <w:sectPr>
          <w:headerReference w:type="first" r:id="rId9"/>
          <w:footnotePr/>
          <w:endnotePr/>
          <w:type w:val="nextColumn"/>
          <w:pgSz w:w="11906" w:h="16838" w:orient="portrait"/>
          <w:pgMar w:top="1440" w:right="1588" w:bottom="1440" w:left="1588" w:header="624" w:footer="992" w:gutter="0"/>
          <w:pgNumType w:start="1"/>
          <w:cols w:num="1" w:sep="0" w:space="1701" w:equalWidth="1"/>
          <w:docGrid w:linePitch="360"/>
        </w:sectPr>
      </w:pPr>
      <w:r>
        <w:rPr>
          <w:rFonts w:hint="eastAsia" w:ascii="仿宋_GB2312" w:hAnsi="仿宋_GB2312" w:eastAsia="仿宋_GB2312" w:cs="仿宋_GB2312"/>
          <w:b/>
          <w:bCs/>
          <w:sz w:val="30"/>
          <w:szCs w:val="30"/>
        </w:rPr>
        <w:t xml:space="preserve">编制时间：</w:t>
      </w:r>
      <w:r>
        <w:rPr>
          <w:rFonts w:hint="eastAsia" w:ascii="仿宋_GB2312" w:hAnsi="仿宋_GB2312" w:eastAsia="仿宋_GB2312" w:cs="仿宋_GB2312"/>
          <w:b/>
          <w:bCs/>
          <w:sz w:val="30"/>
          <w:szCs w:val="30"/>
          <w:lang w:val="en-US" w:eastAsia="zh-CN"/>
        </w:rPr>
        <w:t xml:space="preserve">二零二五年十二月</w:t>
      </w:r>
      <w:r>
        <w:rPr>
          <w:rFonts w:hint="eastAsia" w:ascii="仿宋_GB2312" w:hAnsi="仿宋_GB2312" w:eastAsia="仿宋_GB2312" w:cs="仿宋_GB2312"/>
        </w:rPr>
        <w:br w:type="page" w:clear="all"/>
      </w:r>
      <w:r/>
    </w:p>
    <w:p>
      <w:pPr>
        <w:pStyle w:val="802"/>
        <w:rPr>
          <w:rFonts w:hint="eastAsia" w:ascii="仿宋_GB2312" w:hAnsi="仿宋_GB2312" w:eastAsia="仿宋_GB2312" w:cs="仿宋_GB2312"/>
          <w:sz w:val="24"/>
        </w:rPr>
      </w:pPr>
      <w:r>
        <w:rPr>
          <w:rFonts w:hint="eastAsia" w:ascii="仿宋_GB2312" w:hAnsi="仿宋_GB2312" w:eastAsia="仿宋_GB2312" w:cs="仿宋_GB2312"/>
          <w:b/>
          <w:bCs/>
          <w:sz w:val="44"/>
          <w:szCs w:val="44"/>
        </w:rPr>
        <w:t xml:space="preserve">竞争性磋商文件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按照《中华人民共和国政府采购法》、《中华人民共和国政府采购法实施条例》及《政府采购非招标采购方式管理办法》的规定,受新沂市自然资源和规划局委托，</w:t>
      </w:r>
      <w:r>
        <w:rPr>
          <w:rFonts w:hint="eastAsia" w:ascii="仿宋_GB2312" w:hAnsi="仿宋_GB2312" w:eastAsia="仿宋_GB2312" w:cs="仿宋_GB2312"/>
          <w:sz w:val="24"/>
          <w:lang w:eastAsia="zh-CN"/>
        </w:rPr>
        <w:t xml:space="preserve">江苏伟业房地产土地评估造价咨询有限公司</w:t>
      </w:r>
      <w:r>
        <w:rPr>
          <w:rFonts w:hint="eastAsia" w:ascii="仿宋_GB2312" w:hAnsi="仿宋_GB2312" w:eastAsia="仿宋_GB2312" w:cs="仿宋_GB2312"/>
          <w:sz w:val="24"/>
        </w:rPr>
        <w:t xml:space="preserve">对</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u w:val="single"/>
          <w:lang w:eastAsia="zh-CN"/>
        </w:rPr>
        <w:t xml:space="preserve">新沂市国土变更调查及日常变更调查项目</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采取竞争性磋商发布公告方式进行采购。如贵单位有意与本单位合作，请按以下要求参加磋商。</w:t>
      </w:r>
      <w:r/>
    </w:p>
    <w:p>
      <w:pPr>
        <w:pStyle w:val="8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第一章 项目说明</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一、采购人：新沂市自然资源和规划局</w:t>
      </w:r>
      <w:r/>
    </w:p>
    <w:p>
      <w:pPr>
        <w:ind w:firstLine="472"/>
        <w:spacing w:line="360" w:lineRule="auto"/>
        <w:rPr>
          <w:rFonts w:hint="eastAsia" w:ascii="仿宋_GB2312" w:hAnsi="仿宋_GB2312" w:eastAsia="仿宋_GB2312" w:cs="仿宋_GB2312"/>
          <w:b/>
          <w:sz w:val="24"/>
          <w:lang w:eastAsia="zh-CN"/>
        </w:rPr>
      </w:pPr>
      <w:r>
        <w:rPr>
          <w:rFonts w:hint="eastAsia" w:ascii="仿宋_GB2312" w:hAnsi="仿宋_GB2312" w:eastAsia="仿宋_GB2312" w:cs="仿宋_GB2312"/>
          <w:b/>
          <w:sz w:val="24"/>
        </w:rPr>
        <w:t xml:space="preserve">二、项目名称：</w:t>
      </w:r>
      <w:r>
        <w:rPr>
          <w:rFonts w:hint="eastAsia" w:ascii="仿宋_GB2312" w:hAnsi="仿宋_GB2312" w:eastAsia="仿宋_GB2312" w:cs="仿宋_GB2312"/>
          <w:b/>
          <w:sz w:val="24"/>
          <w:lang w:eastAsia="zh-CN"/>
        </w:rPr>
        <w:t xml:space="preserve">新沂市国土变更调查及日常变更调查项目</w:t>
      </w:r>
      <w:r/>
    </w:p>
    <w:p>
      <w:pPr>
        <w:ind w:firstLine="472"/>
        <w:spacing w:line="360" w:lineRule="auto"/>
        <w:rPr>
          <w:rFonts w:hint="eastAsia" w:ascii="仿宋_GB2312" w:hAnsi="仿宋_GB2312" w:eastAsia="仿宋_GB2312" w:cs="仿宋_GB2312"/>
          <w:b/>
          <w:sz w:val="24"/>
          <w:highlight w:val="yellow"/>
          <w:lang w:eastAsia="zh-CN"/>
        </w:rPr>
      </w:pPr>
      <w:r>
        <w:rPr>
          <w:rFonts w:hint="eastAsia" w:ascii="仿宋_GB2312" w:hAnsi="仿宋_GB2312" w:eastAsia="仿宋_GB2312" w:cs="仿宋_GB2312"/>
          <w:b/>
          <w:sz w:val="24"/>
        </w:rPr>
        <w:t xml:space="preserve">三、项目编号：</w:t>
      </w:r>
      <w:r>
        <w:rPr>
          <w:rFonts w:hint="eastAsia" w:ascii="仿宋_GB2312" w:hAnsi="仿宋_GB2312" w:eastAsia="仿宋_GB2312" w:cs="仿宋_GB2312"/>
          <w:b/>
          <w:sz w:val="24"/>
          <w:lang w:eastAsia="zh-CN"/>
        </w:rPr>
        <w:t xml:space="preserve">JSZC-320381-WYZJ-C2025-0023</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四、采购方式：本项目采用竞争性磋商采购。</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五、供应商资格条件：</w:t>
      </w:r>
      <w:r/>
    </w:p>
    <w:p>
      <w:pPr>
        <w:pStyle w:val="969"/>
        <w:ind w:firstLine="472"/>
        <w:spacing w:line="46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 xml:space="preserve">5.1符合《中华人民共和国政府采购法》第二十二条的规定</w:t>
      </w:r>
      <w:r>
        <w:rPr>
          <w:rFonts w:hint="eastAsia" w:ascii="仿宋_GB2312" w:hAnsi="仿宋_GB2312" w:eastAsia="仿宋_GB2312" w:cs="仿宋_GB2312"/>
          <w:sz w:val="24"/>
          <w:szCs w:val="24"/>
          <w:lang w:eastAsia="zh-CN"/>
        </w:rPr>
        <w:t xml:space="preserve">。</w:t>
      </w:r>
      <w:r/>
    </w:p>
    <w:p>
      <w:pPr>
        <w:pStyle w:val="969"/>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5.2 采购项目需要落实的政府采购政策：此项目属于专门面向中小微企业采购的项目</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供应商应为中小微企业、监狱企业、残疾人福利性单位。</w:t>
      </w:r>
      <w:r/>
    </w:p>
    <w:p>
      <w:pPr>
        <w:pStyle w:val="969"/>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5.3（一）投标人基本条件</w:t>
      </w:r>
      <w:r/>
    </w:p>
    <w:p>
      <w:pPr>
        <w:pStyle w:val="969"/>
        <w:numPr>
          <w:ilvl w:val="0"/>
          <w:numId w:val="0"/>
        </w:numPr>
        <w:ind w:firstLine="480"/>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w:t>
      </w:r>
      <w:r>
        <w:rPr>
          <w:rFonts w:hint="eastAsia" w:ascii="仿宋_GB2312" w:hAnsi="仿宋_GB2312" w:eastAsia="仿宋_GB2312" w:cs="仿宋_GB2312"/>
          <w:sz w:val="24"/>
          <w:szCs w:val="24"/>
        </w:rPr>
        <w:t xml:space="preserve">具有独立承担民事责任的能力；</w:t>
      </w:r>
      <w:r/>
    </w:p>
    <w:p>
      <w:pPr>
        <w:pStyle w:val="969"/>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2.具有良好的商业信誉和健全的财务会计制度；</w:t>
      </w:r>
      <w:r/>
    </w:p>
    <w:p>
      <w:pPr>
        <w:pStyle w:val="969"/>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3.具有履行合同所必需的设备和专业技术能力；</w:t>
      </w:r>
      <w:r/>
    </w:p>
    <w:p>
      <w:pPr>
        <w:pStyle w:val="969"/>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4.有依法缴纳税收和社会保障资金的良好记录；</w:t>
      </w:r>
      <w:r/>
    </w:p>
    <w:p>
      <w:pPr>
        <w:pStyle w:val="969"/>
        <w:ind w:firstLine="472"/>
        <w:spacing w:line="4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5.参加投标活动前三年内，在经营活动中没有重大违法记录；</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6.法律、行政法规规定的其他条件。</w:t>
      </w:r>
      <w:r/>
    </w:p>
    <w:p>
      <w:pPr>
        <w:ind w:firstLine="708"/>
        <w:jc w:val="left"/>
        <w:spacing w:line="400" w:lineRule="exact"/>
        <w:widowControl/>
        <w:rPr>
          <w:rFonts w:hint="eastAsia" w:ascii="仿宋_GB2312" w:hAnsi="仿宋_GB2312" w:eastAsia="仿宋_GB2312" w:cs="仿宋_GB2312"/>
          <w:b/>
          <w:sz w:val="24"/>
        </w:rPr>
      </w:pPr>
      <w:r>
        <w:rPr>
          <w:rFonts w:hint="eastAsia" w:ascii="仿宋_GB2312" w:hAnsi="仿宋_GB2312" w:eastAsia="仿宋_GB2312" w:cs="仿宋_GB2312"/>
          <w:sz w:val="24"/>
        </w:rPr>
        <w:t xml:space="preserve">（二）项目要求投标人具备的特定条件</w:t>
      </w:r>
      <w:r/>
    </w:p>
    <w:p>
      <w:pPr>
        <w:contextualSpacing/>
        <w:ind w:firstLine="472"/>
        <w:jc w:val="left"/>
        <w:spacing w:line="440" w:lineRule="exact"/>
        <w:widowControl/>
        <w:rPr>
          <w:rFonts w:hint="eastAsia" w:ascii="仿宋_GB2312" w:hAnsi="仿宋_GB2312" w:eastAsia="仿宋_GB2312" w:cs="仿宋_GB2312"/>
          <w:color w:val="ff0000"/>
          <w:sz w:val="24"/>
          <w:highlight w:val="yellow"/>
        </w:rPr>
      </w:pPr>
      <w:r>
        <w:rPr>
          <w:rFonts w:hint="eastAsia" w:ascii="仿宋_GB2312" w:hAnsi="仿宋_GB2312" w:eastAsia="仿宋_GB2312" w:cs="仿宋_GB2312"/>
          <w:color w:val="auto"/>
          <w:sz w:val="24"/>
          <w:highlight w:val="none"/>
        </w:rPr>
        <w:t xml:space="preserve">投标人须具有</w:t>
      </w:r>
      <w:r>
        <w:rPr>
          <w:rFonts w:hint="eastAsia" w:ascii="仿宋_GB2312" w:hAnsi="仿宋_GB2312" w:eastAsia="仿宋_GB2312" w:cs="仿宋_GB2312"/>
          <w:color w:val="auto"/>
          <w:sz w:val="24"/>
          <w:highlight w:val="none"/>
          <w:lang w:val="en-US" w:eastAsia="zh-CN"/>
        </w:rPr>
        <w:t xml:space="preserve">测绘行政主管部门颁发的乙级及以上测绘资质证书（</w:t>
      </w:r>
      <w:r>
        <w:rPr>
          <w:rFonts w:hint="eastAsia" w:ascii="仿宋_GB2312" w:hAnsi="仿宋_GB2312" w:eastAsia="仿宋_GB2312" w:cs="仿宋_GB2312"/>
          <w:color w:val="auto"/>
          <w:sz w:val="24"/>
          <w:szCs w:val="24"/>
          <w:highlight w:val="none"/>
          <w:lang w:val="en-US" w:eastAsia="zh-CN" w:bidi="ar"/>
        </w:rPr>
        <w:t xml:space="preserve">专业范围同时包括地理信息系统工程和</w:t>
      </w:r>
      <w:r>
        <w:rPr>
          <w:rFonts w:hint="eastAsia" w:ascii="仿宋_GB2312" w:hAnsi="仿宋_GB2312" w:eastAsia="仿宋_GB2312" w:cs="仿宋_GB2312"/>
          <w:color w:val="auto"/>
          <w:sz w:val="24"/>
          <w:highlight w:val="none"/>
          <w:lang w:val="en-US" w:eastAsia="zh-CN"/>
        </w:rPr>
        <w:t xml:space="preserve">界线与不动产测绘</w:t>
      </w:r>
      <w:r>
        <w:rPr>
          <w:rFonts w:hint="eastAsia" w:ascii="仿宋_GB2312" w:hAnsi="仿宋_GB2312" w:eastAsia="仿宋_GB2312" w:cs="仿宋_GB2312"/>
          <w:color w:val="auto"/>
          <w:sz w:val="24"/>
          <w:szCs w:val="24"/>
          <w:highlight w:val="none"/>
          <w:lang w:val="en-US" w:eastAsia="zh-CN" w:bidi="ar"/>
        </w:rPr>
        <w:t xml:space="preserve">）。</w:t>
      </w:r>
      <w:r/>
    </w:p>
    <w:p>
      <w:pPr>
        <w:contextualSpacing/>
        <w:ind w:firstLine="472"/>
        <w:jc w:val="left"/>
        <w:spacing w:line="44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eastAsia="zh-CN"/>
        </w:rPr>
        <w:t xml:space="preserve">（</w:t>
      </w:r>
      <w:r>
        <w:rPr>
          <w:rFonts w:hint="eastAsia" w:ascii="仿宋_GB2312" w:hAnsi="仿宋_GB2312" w:eastAsia="仿宋_GB2312" w:cs="仿宋_GB2312"/>
          <w:color w:val="000000"/>
          <w:sz w:val="24"/>
          <w:lang w:val="en-US" w:eastAsia="zh-CN"/>
        </w:rPr>
        <w:t xml:space="preserve">三</w:t>
      </w:r>
      <w:r>
        <w:rPr>
          <w:rFonts w:hint="eastAsia" w:ascii="仿宋_GB2312" w:hAnsi="仿宋_GB2312" w:eastAsia="仿宋_GB2312" w:cs="仿宋_GB2312"/>
          <w:color w:val="000000"/>
          <w:sz w:val="24"/>
          <w:lang w:eastAsia="zh-CN"/>
        </w:rPr>
        <w:t xml:space="preserve">）</w:t>
      </w:r>
      <w:r>
        <w:rPr>
          <w:rFonts w:hint="eastAsia" w:ascii="仿宋_GB2312" w:hAnsi="仿宋_GB2312" w:eastAsia="仿宋_GB2312" w:cs="仿宋_GB2312"/>
          <w:color w:val="000000"/>
          <w:sz w:val="24"/>
        </w:rPr>
        <w:t xml:space="preserve">本项目不接受联合体投标。</w:t>
      </w:r>
      <w:r/>
    </w:p>
    <w:p>
      <w:pPr>
        <w:contextualSpacing/>
        <w:ind w:firstLine="480"/>
        <w:jc w:val="left"/>
        <w:spacing w:line="44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5.4.查询及使用供应商信用记录：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（1）由采购人查询信用信息；</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（2）查询渠道包括：</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①“信用中国”网（www.creditchina.gov.cn）；</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②“中国政府采购”网（www.ccgp.gov.cn）；</w:t>
      </w:r>
      <w:r/>
    </w:p>
    <w:p>
      <w:pPr>
        <w:ind w:firstLine="472"/>
        <w:spacing w:line="360" w:lineRule="auto"/>
        <w:rPr>
          <w:rFonts w:hint="eastAsia" w:ascii="仿宋_GB2312" w:hAnsi="仿宋_GB2312" w:eastAsia="仿宋_GB2312" w:cs="仿宋_GB2312"/>
          <w:color w:val="000000"/>
          <w:sz w:val="24"/>
          <w:highlight w:val="red"/>
        </w:rPr>
      </w:pPr>
      <w:r>
        <w:rPr>
          <w:rFonts w:hint="eastAsia" w:ascii="仿宋_GB2312" w:hAnsi="仿宋_GB2312" w:eastAsia="仿宋_GB2312" w:cs="仿宋_GB2312"/>
          <w:sz w:val="24"/>
        </w:rPr>
        <w:t xml:space="preserve">③</w:t>
      </w:r>
      <w:r>
        <w:rPr>
          <w:rFonts w:hint="eastAsia" w:ascii="仿宋_GB2312" w:hAnsi="仿宋_GB2312" w:eastAsia="仿宋_GB2312" w:cs="仿宋_GB2312"/>
          <w:color w:val="000000"/>
          <w:sz w:val="24"/>
        </w:rPr>
        <w:t xml:space="preserve">“信用江苏”网（http://credit.jiangsu.gov.cn/）；</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④</w:t>
      </w:r>
      <w:r>
        <w:rPr>
          <w:rFonts w:hint="eastAsia" w:ascii="仿宋_GB2312" w:hAnsi="仿宋_GB2312" w:eastAsia="仿宋_GB2312" w:cs="仿宋_GB2312"/>
          <w:color w:val="000000"/>
          <w:sz w:val="24"/>
        </w:rPr>
        <w:t xml:space="preserve">“信用中国(江苏徐州)”网</w:t>
      </w:r>
      <w:r>
        <w:rPr>
          <w:rFonts w:hint="eastAsia" w:ascii="仿宋_GB2312" w:hAnsi="仿宋_GB2312" w:eastAsia="仿宋_GB2312" w:cs="仿宋_GB2312"/>
          <w:sz w:val="24"/>
        </w:rPr>
        <w:t xml:space="preserve">（</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"http://www.xuzhoucredit.gov.cn" </w:instrText>
      </w:r>
      <w:r>
        <w:rPr>
          <w:rFonts w:hint="eastAsia" w:ascii="仿宋_GB2312" w:hAnsi="仿宋_GB2312" w:eastAsia="仿宋_GB2312" w:cs="仿宋_GB2312"/>
        </w:rPr>
        <w:fldChar w:fldCharType="separate"/>
      </w:r>
      <w:r>
        <w:rPr>
          <w:rFonts w:hint="eastAsia" w:ascii="仿宋_GB2312" w:hAnsi="仿宋_GB2312" w:eastAsia="仿宋_GB2312" w:cs="仿宋_GB2312"/>
          <w:sz w:val="24"/>
        </w:rPr>
        <w:t xml:space="preserve">http://www.xuzhoucredit.gov.cn</w:t>
      </w:r>
      <w:r>
        <w:rPr>
          <w:rFonts w:hint="eastAsia" w:ascii="仿宋_GB2312" w:hAnsi="仿宋_GB2312" w:eastAsia="仿宋_GB2312" w:cs="仿宋_GB2312"/>
          <w:sz w:val="24"/>
        </w:rPr>
        <w:fldChar w:fldCharType="end"/>
      </w:r>
      <w:r>
        <w:rPr>
          <w:rFonts w:hint="eastAsia" w:ascii="仿宋_GB2312" w:hAnsi="仿宋_GB2312" w:eastAsia="仿宋_GB2312" w:cs="仿宋_GB2312"/>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（3）截止时点（查询环节）：磋商结束前；</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（4）信用信息查询记录和证据留存方式：网页截屏打印，与其他采购文件一并保存；</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（5）信用信息的使用规则：</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采购活动；供应商信用评价结果参考期限从项目开标之日前三年起算，具体按照《江苏省政府采购信用管理暂行办法》（苏财规[2018]18号）执行。</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六、项目预算金额：</w:t>
      </w:r>
      <w:r>
        <w:rPr>
          <w:rFonts w:hint="eastAsia" w:ascii="仿宋_GB2312" w:hAnsi="仿宋_GB2312" w:eastAsia="仿宋_GB2312" w:cs="仿宋_GB2312"/>
          <w:b/>
          <w:sz w:val="24"/>
          <w:lang w:val="en-US" w:eastAsia="zh-CN"/>
        </w:rPr>
        <w:t xml:space="preserve">190</w:t>
      </w:r>
      <w:r>
        <w:rPr>
          <w:rFonts w:hint="eastAsia" w:ascii="仿宋_GB2312" w:hAnsi="仿宋_GB2312" w:eastAsia="仿宋_GB2312" w:cs="仿宋_GB2312"/>
          <w:b/>
          <w:sz w:val="24"/>
        </w:rPr>
        <w:t xml:space="preserve">万元，本项目不接受超过</w:t>
      </w:r>
      <w:r>
        <w:rPr>
          <w:rFonts w:hint="eastAsia" w:ascii="仿宋_GB2312" w:hAnsi="仿宋_GB2312" w:eastAsia="仿宋_GB2312" w:cs="仿宋_GB2312"/>
          <w:b/>
          <w:sz w:val="24"/>
          <w:lang w:val="en-US" w:eastAsia="zh-CN"/>
        </w:rPr>
        <w:t xml:space="preserve">190</w:t>
      </w:r>
      <w:r>
        <w:rPr>
          <w:rFonts w:hint="eastAsia" w:ascii="仿宋_GB2312" w:hAnsi="仿宋_GB2312" w:eastAsia="仿宋_GB2312" w:cs="仿宋_GB2312"/>
          <w:b/>
          <w:sz w:val="24"/>
        </w:rPr>
        <w:t xml:space="preserve">万元以上报价。</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七、采购需求：详见《磋商文件》第八章附件《采购需求》，采购人确定的采购项目属性为服务。</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八、合同草案条款：详见《磋商文件》第八章附件《合同草案条款》。</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九、报价要求：</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1、供应商报价为要约，采购人无承诺表示时视为未成交，采购人认为必要时可重新进行竞争性磋商采购或采取其它方式采购。</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2、按照《磋商报价表》要求填写首次报价：详见《磋商文件》第八章附件《磋商报价表》。</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3、报价包含本项目范围内的全部费用。供应商有漏报或不报的，采购人将视为有关费用已包括在本项目的报价中而不予支付。采购人不支付报价以外的任何费用。</w:t>
      </w:r>
      <w:r/>
    </w:p>
    <w:p>
      <w:pPr>
        <w:pStyle w:val="802"/>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第二章 招标代理服务费</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十、成交供应商在领取成交通知书前，缴纳招标代理服务费，收取标准见附件。</w:t>
      </w:r>
      <w:r/>
    </w:p>
    <w:p>
      <w:pPr>
        <w:pStyle w:val="8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第三章 响应文件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b/>
          <w:sz w:val="24"/>
        </w:rPr>
        <w:t xml:space="preserve">十一、响应文件编制要求</w:t>
      </w:r>
      <w:r/>
    </w:p>
    <w:p>
      <w:pPr>
        <w:pStyle w:val="8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第一部分 基本要求</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1、供应商应当按照《磋商文件》的要求编制响应文件，并对其提交的响应文件的真实性、合法性承担法律责任。</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2、电子响应文件要求</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（1）供应商应由其法定代表人或法定代表人授权代表在规定的网上响应时间，使用“政府采购客户端”编制电子响应文件，并在提交响应文件截止时间之前上传响应文件。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（2）供应商应对 CA 证书妥善保管，如被他人盗用投标，因此带来的结果均由供应商自行承担。</w:t>
      </w:r>
      <w:r/>
    </w:p>
    <w:p>
      <w:pPr>
        <w:ind w:firstLine="472"/>
        <w:spacing w:line="360" w:lineRule="auto"/>
        <w:rPr>
          <w:rFonts w:hint="eastAsia" w:ascii="仿宋_GB2312" w:hAnsi="仿宋_GB2312" w:eastAsia="仿宋_GB2312" w:cs="仿宋_GB2312"/>
          <w:b/>
          <w:bCs/>
          <w:sz w:val="24"/>
          <w:highlight w:val="none"/>
        </w:rPr>
      </w:pPr>
      <w:r>
        <w:rPr>
          <w:rFonts w:hint="eastAsia" w:ascii="仿宋_GB2312" w:hAnsi="仿宋_GB2312" w:eastAsia="仿宋_GB2312" w:cs="仿宋_GB2312"/>
          <w:sz w:val="24"/>
        </w:rPr>
        <w:t xml:space="preserve">（3）投标人应凭CA数字证书以及自备的能够登录“苏采云”系统的笔记本电脑，在达到开标时间</w:t>
      </w:r>
      <w:r>
        <w:rPr>
          <w:rFonts w:hint="eastAsia" w:ascii="仿宋_GB2312" w:hAnsi="仿宋_GB2312" w:eastAsia="仿宋_GB2312" w:cs="仿宋_GB2312"/>
          <w:sz w:val="24"/>
          <w:highlight w:val="none"/>
        </w:rPr>
        <w:t xml:space="preserve">后，使用CA数字证书解密各自投标文件。因此带来的结果均由供应商自行承担。</w:t>
      </w:r>
      <w:r>
        <w:rPr>
          <w:rFonts w:hint="eastAsia" w:ascii="仿宋_GB2312" w:hAnsi="仿宋_GB2312" w:eastAsia="仿宋_GB2312" w:cs="仿宋_GB2312"/>
          <w:b/>
          <w:bCs/>
          <w:sz w:val="24"/>
          <w:highlight w:val="none"/>
        </w:rPr>
        <w:t xml:space="preserve">本项目开标时间为：</w:t>
      </w:r>
      <w:r>
        <w:rPr>
          <w:rFonts w:hint="eastAsia" w:ascii="仿宋_GB2312" w:hAnsi="仿宋_GB2312" w:eastAsia="仿宋_GB2312" w:cs="仿宋_GB2312"/>
          <w:b/>
          <w:bCs/>
          <w:sz w:val="24"/>
          <w:highlight w:val="none"/>
          <w:lang w:eastAsia="zh-CN"/>
        </w:rPr>
        <w:t xml:space="preserve">2025年</w:t>
      </w:r>
      <w:bookmarkStart w:id="1" w:name="OLE_LINK2"/>
      <w:r>
        <w:rPr>
          <w:rFonts w:hint="eastAsia" w:ascii="仿宋_GB2312" w:hAnsi="仿宋_GB2312" w:eastAsia="仿宋_GB2312" w:cs="仿宋_GB2312"/>
          <w:b/>
          <w:bCs/>
          <w:sz w:val="24"/>
          <w:highlight w:val="none"/>
          <w:lang w:eastAsia="zh-CN"/>
        </w:rPr>
        <w:t xml:space="preserve">12月</w:t>
      </w:r>
      <w:r>
        <w:rPr>
          <w:rFonts w:hint="eastAsia" w:ascii="仿宋_GB2312" w:hAnsi="仿宋_GB2312" w:eastAsia="仿宋_GB2312" w:cs="仿宋_GB2312"/>
          <w:b/>
          <w:bCs/>
          <w:sz w:val="24"/>
          <w:highlight w:val="none"/>
          <w:lang w:val="en-US" w:eastAsia="zh-CN"/>
        </w:rPr>
        <w:t xml:space="preserve">30</w:t>
      </w:r>
      <w:r>
        <w:rPr>
          <w:rFonts w:hint="eastAsia" w:ascii="仿宋_GB2312" w:hAnsi="仿宋_GB2312" w:eastAsia="仿宋_GB2312" w:cs="仿宋_GB2312"/>
          <w:b/>
          <w:bCs/>
          <w:sz w:val="24"/>
          <w:highlight w:val="none"/>
          <w:lang w:eastAsia="zh-CN"/>
        </w:rPr>
        <w:t xml:space="preserve">日</w:t>
      </w:r>
      <w:bookmarkEnd w:id="1"/>
      <w:r>
        <w:rPr>
          <w:rFonts w:hint="eastAsia" w:ascii="仿宋_GB2312" w:hAnsi="仿宋_GB2312" w:eastAsia="仿宋_GB2312" w:cs="仿宋_GB2312"/>
          <w:b/>
          <w:bCs/>
          <w:sz w:val="24"/>
          <w:highlight w:val="none"/>
        </w:rPr>
        <w:t xml:space="preserve">北京时间上午09：30分。 </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（4）供应商应当对《磋商文件》提出的要求和条件作出实质性响应，并在电子投标系统逐条应答。</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（5）供应商应对要求提供的资格证明文件（如资质证书、资格证书）、技术资料（如白皮书、彩页、手册、检测报告等）原件扫描上传。</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3、获取竞争性磋商文件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（1）潜在供应商访问电子招标投标交易平台的网络地址和方法：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①登录 http://jszfcg.jsczt.cn/ ，或进入徐州政府采购网--业务工作--用户登录，点击“苏采云”进入系统。</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"http://218.3.177.171:8088/Home/HomeDetails?type=13&amp;articleid=48474397-614b-4e09-ba87-56241d82e743" \t "http://218.3.177.171:8088/Home/_blank" \o "“苏采云”系统政务CA办理材料、操作手册及控件下载" </w:instrText>
      </w:r>
      <w:r>
        <w:rPr>
          <w:rFonts w:hint="eastAsia" w:ascii="仿宋_GB2312" w:hAnsi="仿宋_GB2312" w:eastAsia="仿宋_GB2312" w:cs="仿宋_GB2312"/>
        </w:rPr>
        <w:fldChar w:fldCharType="separate"/>
      </w:r>
      <w:r>
        <w:rPr>
          <w:rFonts w:hint="eastAsia" w:ascii="仿宋_GB2312" w:hAnsi="仿宋_GB2312" w:eastAsia="仿宋_GB2312" w:cs="仿宋_GB2312"/>
          <w:sz w:val="24"/>
        </w:rPr>
        <w:t xml:space="preserve">“苏采云”系统政务CA办理材料、操作手册及控件下载</w:t>
      </w:r>
      <w:r>
        <w:rPr>
          <w:rFonts w:hint="eastAsia" w:ascii="仿宋_GB2312" w:hAnsi="仿宋_GB2312" w:eastAsia="仿宋_GB2312" w:cs="仿宋_GB2312"/>
          <w:sz w:val="24"/>
        </w:rPr>
        <w:fldChar w:fldCharType="end"/>
      </w:r>
      <w:r>
        <w:rPr>
          <w:rFonts w:hint="eastAsia" w:ascii="仿宋_GB2312" w:hAnsi="仿宋_GB2312" w:eastAsia="仿宋_GB2312" w:cs="仿宋_GB2312"/>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投标客户端工具及供应商操作手册可访问徐州市政府采购网，选中“业务工作”，“下载专区”进行下载《江苏省政府采购管理交易系统（苏采云）供应商操作手册及政府采购客户端》。</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（2）采购代理机构将数据电文形式的采购文件加载至电子招标投标交易平台，供潜在供应商下载或者查阅。</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（3）售价：免费。</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（4）技术支持</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如有疑问，请联系客服人员。（工作时间：法定工作日9:00-17:00）</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进入政府采购交易系统，遇到任何问题，请联系</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电话：0516-67669051 、0516-67669158</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附：</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① 江苏省政府采购管理交易系统（苏采云）供应商操作手册及政府采购客户端：</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http://czj.xz.gov.cn/Home/HomeDetails?type=13&amp;articleid=a5520682-d9b1-4ff4-b46c-e9a09d1c7d08</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② 供应商报名和标书制作：</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http://czj.xz.gov.cn/Home/HomeDetails?type=13&amp;articleid=1d984549-f767-40c7-8647-cbbd55af52da</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③ 供应商开标视频流程：</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http://czj.xz.gov.cn/Home/HomeDetails?type=13&amp;articleid=9614c442-efd2-44c4-9b6f-2aed99840c8e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4、有下列情形之一的，其投标无效：</w:t>
      </w:r>
      <w:r/>
    </w:p>
    <w:p>
      <w:pPr>
        <w:ind w:left="0" w:firstLine="48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w:t>
      </w:r>
      <w:r>
        <w:rPr>
          <w:rFonts w:hint="eastAsia" w:ascii="仿宋_GB2312" w:hAnsi="仿宋_GB2312" w:eastAsia="仿宋_GB2312" w:cs="仿宋_GB2312"/>
          <w:sz w:val="24"/>
          <w:lang w:val="en-US" w:eastAsia="zh-CN"/>
        </w:rPr>
        <w:t xml:space="preserve">1</w:t>
      </w:r>
      <w:r>
        <w:rPr>
          <w:rFonts w:hint="eastAsia" w:ascii="仿宋_GB2312" w:hAnsi="仿宋_GB2312" w:eastAsia="仿宋_GB2312" w:cs="仿宋_GB2312"/>
          <w:sz w:val="24"/>
        </w:rPr>
        <w:t xml:space="preserve">)电子响应文件未按规定期限投标的；</w:t>
      </w:r>
      <w:r/>
    </w:p>
    <w:p>
      <w:pPr>
        <w:ind w:left="0" w:firstLine="48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(2)电子响应文件未按磋商文件要求签章的； </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(3)供应商未在规定时间内解密电子响应文件的；</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(4)不同供应商响应文件内容存在非正常一致、项目组成员出现同一人、响应文件中错误（或异常）一致或雷同、电子文档信息一致或雷同的、报价呈规律性差异的。</w:t>
      </w:r>
      <w:r/>
    </w:p>
    <w:p>
      <w:pPr>
        <w:pStyle w:val="8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第二部分 响应文件的组成</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（一）《承诺书》（加盖</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，格式见《磋商文件》附件）；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（二）《磋商报价表》（加盖</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，格式见《磋商文件》附件）；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（三）其他文件，包括：</w:t>
      </w:r>
      <w:r/>
    </w:p>
    <w:p>
      <w:pPr>
        <w:ind w:firstLine="472"/>
        <w:spacing w:line="360" w:lineRule="auto"/>
        <w:rPr>
          <w:rFonts w:hint="eastAsia" w:ascii="仿宋_GB2312" w:hAnsi="仿宋_GB2312" w:eastAsia="仿宋_GB2312" w:cs="仿宋_GB2312"/>
          <w:b/>
          <w:bCs/>
          <w:color w:val="auto"/>
          <w:sz w:val="24"/>
        </w:rPr>
      </w:pPr>
      <w:r>
        <w:rPr>
          <w:rFonts w:hint="eastAsia" w:ascii="仿宋_GB2312" w:hAnsi="仿宋_GB2312" w:eastAsia="仿宋_GB2312" w:cs="仿宋_GB2312"/>
          <w:b/>
          <w:bCs/>
          <w:color w:val="auto"/>
          <w:sz w:val="24"/>
        </w:rPr>
        <w:t xml:space="preserve">1、供应商的资格证明文件（必须提供，否则投标将被拒绝）</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1</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具有独立承担民事责任的能力，提供投标人合法有效的法人的营业执照或其他组织应提供合法证明文件的原件扫描件(加盖电子签章)。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2</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财务状况报告，至少提供：即提供投标人的本项目开标时间前6个月内任何1月（不含开标当月）的资产负债表原件的扫描件1份；投标人的本项目开标时间前6个月内任何1月（不含开标当月）利润表月报表原件的扫描件1份(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3</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4</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具备履行合同所必需的设备和专业技术能力的证明材料提供具备履行合同所必需的设备和专业技术能力的书面声明（加盖电子签章，格式见《磋商文件》附件）；</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5</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投标人参加政府采购活动前3年内在经营活动中没有重大违法记录的书面声明（加盖电子签章，格式见《磋商文件》附件）。</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6</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此项目属于专门面向中小微企业采购的项目，供应商应为中小微企业、监狱企业、残疾人福利性单位。提供《中小企业声明函》（必须提供，填写完整，加盖电子签章，如不填写完整，视为无效，格式见《磋商文件》附件）。</w:t>
      </w:r>
      <w:r/>
    </w:p>
    <w:p>
      <w:pPr>
        <w:ind w:firstLine="472"/>
        <w:spacing w:line="360" w:lineRule="auto"/>
        <w:rPr>
          <w:rFonts w:hint="eastAsia" w:ascii="仿宋_GB2312" w:hAnsi="仿宋_GB2312" w:eastAsia="仿宋_GB2312" w:cs="仿宋_GB2312"/>
          <w:b w:val="0"/>
          <w:bCs w:val="0"/>
          <w:color w:val="auto"/>
          <w:sz w:val="24"/>
          <w:highlight w:val="none"/>
          <w:lang w:val="en-US" w:eastAsia="zh-CN"/>
        </w:rPr>
      </w:pPr>
      <w:r>
        <w:rPr>
          <w:rFonts w:hint="eastAsia" w:ascii="仿宋_GB2312" w:hAnsi="仿宋_GB2312" w:eastAsia="仿宋_GB2312" w:cs="仿宋_GB2312"/>
          <w:b w:val="0"/>
          <w:bCs w:val="0"/>
          <w:color w:val="auto"/>
          <w:sz w:val="24"/>
          <w:highlight w:val="none"/>
        </w:rPr>
        <w:t xml:space="preserve">（</w:t>
      </w:r>
      <w:r>
        <w:rPr>
          <w:rFonts w:hint="eastAsia" w:ascii="仿宋_GB2312" w:hAnsi="仿宋_GB2312" w:eastAsia="仿宋_GB2312" w:cs="仿宋_GB2312"/>
          <w:b w:val="0"/>
          <w:bCs w:val="0"/>
          <w:color w:val="auto"/>
          <w:sz w:val="24"/>
          <w:highlight w:val="none"/>
          <w:lang w:val="en-US" w:eastAsia="zh-CN"/>
        </w:rPr>
        <w:t xml:space="preserve">7</w:t>
      </w:r>
      <w:r>
        <w:rPr>
          <w:rFonts w:hint="eastAsia" w:ascii="仿宋_GB2312" w:hAnsi="仿宋_GB2312" w:eastAsia="仿宋_GB2312" w:cs="仿宋_GB2312"/>
          <w:b w:val="0"/>
          <w:bCs w:val="0"/>
          <w:color w:val="auto"/>
          <w:sz w:val="24"/>
          <w:highlight w:val="none"/>
        </w:rPr>
        <w:t xml:space="preserve">）</w:t>
      </w:r>
      <w:r>
        <w:rPr>
          <w:rFonts w:hint="eastAsia" w:ascii="仿宋_GB2312" w:hAnsi="仿宋_GB2312" w:eastAsia="仿宋_GB2312" w:cs="仿宋_GB2312"/>
          <w:b w:val="0"/>
          <w:bCs w:val="0"/>
          <w:color w:val="auto"/>
          <w:sz w:val="24"/>
          <w:highlight w:val="none"/>
          <w:shd w:val="clear" w:color="auto" w:fill="auto"/>
        </w:rPr>
        <w:t xml:space="preserve">投标人须具有测绘行政主管部门颁发的</w:t>
      </w:r>
      <w:r>
        <w:rPr>
          <w:rFonts w:hint="eastAsia" w:ascii="仿宋_GB2312" w:hAnsi="仿宋_GB2312" w:eastAsia="仿宋_GB2312" w:cs="仿宋_GB2312"/>
          <w:color w:val="auto"/>
          <w:sz w:val="24"/>
          <w:highlight w:val="none"/>
          <w:lang w:val="en-US" w:eastAsia="zh-CN"/>
        </w:rPr>
        <w:t xml:space="preserve">乙级及以上测绘资质证书（</w:t>
      </w:r>
      <w:r>
        <w:rPr>
          <w:rFonts w:hint="eastAsia" w:ascii="仿宋_GB2312" w:hAnsi="仿宋_GB2312" w:eastAsia="仿宋_GB2312" w:cs="仿宋_GB2312"/>
          <w:color w:val="auto"/>
          <w:sz w:val="24"/>
          <w:szCs w:val="24"/>
          <w:highlight w:val="none"/>
          <w:lang w:val="en-US" w:eastAsia="zh-CN" w:bidi="ar"/>
        </w:rPr>
        <w:t xml:space="preserve">专业范围同时包括地理信息系统工程和</w:t>
      </w:r>
      <w:r>
        <w:rPr>
          <w:rFonts w:hint="eastAsia" w:ascii="仿宋_GB2312" w:hAnsi="仿宋_GB2312" w:eastAsia="仿宋_GB2312" w:cs="仿宋_GB2312"/>
          <w:color w:val="auto"/>
          <w:sz w:val="24"/>
          <w:highlight w:val="none"/>
          <w:lang w:val="en-US" w:eastAsia="zh-CN"/>
        </w:rPr>
        <w:t xml:space="preserve">界线与不动产测绘</w:t>
      </w:r>
      <w:r>
        <w:rPr>
          <w:rFonts w:hint="eastAsia" w:ascii="仿宋_GB2312" w:hAnsi="仿宋_GB2312" w:eastAsia="仿宋_GB2312" w:cs="仿宋_GB2312"/>
          <w:color w:val="auto"/>
          <w:sz w:val="24"/>
          <w:szCs w:val="24"/>
          <w:highlight w:val="none"/>
          <w:lang w:val="en-US" w:eastAsia="zh-CN" w:bidi="ar"/>
        </w:rPr>
        <w:t xml:space="preserve">）。</w:t>
      </w:r>
      <w:r>
        <w:rPr>
          <w:rFonts w:hint="eastAsia" w:ascii="仿宋_GB2312" w:hAnsi="仿宋_GB2312" w:eastAsia="仿宋_GB2312" w:cs="仿宋_GB2312"/>
          <w:b w:val="0"/>
          <w:bCs w:val="0"/>
          <w:color w:val="auto"/>
          <w:sz w:val="24"/>
          <w:highlight w:val="none"/>
          <w:lang w:val="en-US" w:eastAsia="zh-CN"/>
        </w:rPr>
        <w:t xml:space="preserve">（原件扫描上传</w:t>
      </w:r>
      <w:r>
        <w:rPr>
          <w:rFonts w:hint="eastAsia" w:ascii="仿宋_GB2312" w:hAnsi="仿宋_GB2312" w:eastAsia="仿宋_GB2312" w:cs="仿宋_GB2312"/>
          <w:b w:val="0"/>
          <w:bCs w:val="0"/>
          <w:color w:val="auto"/>
          <w:sz w:val="24"/>
          <w:highlight w:val="none"/>
        </w:rPr>
        <w:t xml:space="preserve">并加盖电子签章</w:t>
      </w:r>
      <w:r>
        <w:rPr>
          <w:rFonts w:hint="eastAsia" w:ascii="仿宋_GB2312" w:hAnsi="仿宋_GB2312" w:eastAsia="仿宋_GB2312" w:cs="仿宋_GB2312"/>
          <w:b w:val="0"/>
          <w:bCs w:val="0"/>
          <w:color w:val="auto"/>
          <w:sz w:val="24"/>
          <w:highlight w:val="none"/>
          <w:lang w:val="en-US" w:eastAsia="zh-CN"/>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2、授权委托书</w:t>
      </w:r>
      <w:r>
        <w:rPr>
          <w:rFonts w:hint="eastAsia" w:ascii="仿宋_GB2312" w:hAnsi="仿宋_GB2312" w:eastAsia="仿宋_GB2312" w:cs="仿宋_GB2312"/>
          <w:color w:val="auto"/>
          <w:sz w:val="24"/>
        </w:rPr>
        <w:t xml:space="preserve">（原件扫描上传并加盖电子签章，格式见《磋商文件》附件）；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3、偏离表</w:t>
      </w:r>
      <w:r>
        <w:rPr>
          <w:rFonts w:hint="eastAsia" w:ascii="仿宋_GB2312" w:hAnsi="仿宋_GB2312" w:eastAsia="仿宋_GB2312" w:cs="仿宋_GB2312"/>
          <w:color w:val="auto"/>
          <w:sz w:val="24"/>
        </w:rPr>
        <w:t xml:space="preserve">（上传并加盖电子签章，格式见《磋商文件》附件）；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4、投标所要求的其他证明材料等（如有）</w:t>
      </w:r>
      <w:r>
        <w:rPr>
          <w:rFonts w:hint="eastAsia" w:ascii="仿宋_GB2312" w:hAnsi="仿宋_GB2312" w:eastAsia="仿宋_GB2312" w:cs="仿宋_GB2312"/>
          <w:color w:val="auto"/>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5、供应商为监狱企业的，提供省级以上监狱管理局、戒毒管理局（含新疆生产建设兵团）出具的属于监狱企业的证明文件原件扫描上传并加盖电子签章。</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注：具体以《财政部 司法部关于政府采购支持监狱企业发展有关问题的通知》（财库〔2014〕68号）的规定为准(非必须提供）。</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6、供应商如为中小企业（含中型、小型、微型企业，下同）的，需提供《中小企业声明函》（上传并加盖电子签章，填写完整。格式见《磋商文件》附件）。《中小企业声明函》查询渠道参考工业和信息化部发布的中小企业规模自测小程序。</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注：中小微企业，应当符合以下条件：</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投标人为残疾人福利性单位的，视同小微企业，提供《残疾人福利性单位声明函》（原件扫描并加盖电子签章，格式见《磋商文件》附件）。具体以《关于促进残疾人就业政府采购政策的通知》（财库〔2017〕141号）的规定为准。</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投标人为监狱企业的，视同小微企业，提供省级以上监狱管理局、戒毒管理局（含新疆生产建设兵团）出具的属于监狱企业的证明文件原件扫描上传并加盖电子签章。具体以《财政部 司法部关于政府采购支持监狱企业发展有关问题的通知》（财库〔2014〕68号）的规定为准。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7、供应商为享受政府采购支持政策的残疾人福利性单位的，提供《残疾人福利性单位声明函》（上传并加盖电子签章，格式见《磋商文件》附件，非必须提供）。</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享受政府采购支持政策的残疾人福利性单位应当同时满足以下条件：</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（一）安置的残疾人占本单位在职职工人数的比例不低于25%（含25%），并且安置的残疾人人数不少于10人（含10人）；</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（二）依法与安置的每位残疾人签订了一年以上（含一年）的劳动合同或服务协议；</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（三）为安置的每位残疾人按月足额缴纳了基本养老保险、基本医疗保险、失业保险、工伤保险和生育保险等社会保险费；</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（四）通过银行等金融机构向安置的每位残疾人，按月支付了不低于单位所在区县适用的经省级人民政府批准的月最低工资标准的工资；</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（五）提供本单位制造的货物、承担的工程或者服务（以下简称产品），或者提供其他残疾人福利性单位制造的货物（不包括使用非残疾人福利性单位注册商标的货物）。</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具体以《三部门联合发布关于促进残疾人就业政府采购政策的通知》（财库〔2017〕141号）规定为准。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8、“环境标志产品” 有关证明材料（如有）。</w:t>
      </w:r>
      <w:r/>
    </w:p>
    <w:p>
      <w:pPr>
        <w:ind w:firstLine="708"/>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所选用的产品列入中华人民共和国财政部、中华人民共和国环境保护部发布的“环境标志产品政府采购清单”，且在有效时间内（即“首次响应文件开启时间”当天在“认证证书有效截止日期”内）的，提供环境标志产品” 有关证明材料原件扫描上传并加盖电子签章。</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9、“节能产品” 有关证明材料（如有）。</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所选用的产品列入中华人民共和国财政部、中华人民共和国国家发展和改革委员会发布的“节能产品政府采购清单”，且在有效时间内（即首次响应文件开启时间”当天在“认证证书有效截止日期”内）的，提供“节能产品” 有关证明材料原件扫描上传并加盖电子签章。</w:t>
      </w:r>
      <w:r/>
    </w:p>
    <w:p>
      <w:pPr>
        <w:pStyle w:val="8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第四章 磋商相关说明</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十二、评审程序：</w:t>
      </w:r>
      <w:r/>
    </w:p>
    <w:p>
      <w:pPr>
        <w:ind w:firstLine="472"/>
        <w:spacing w:line="360" w:lineRule="auto"/>
        <w:rPr>
          <w:rFonts w:hint="eastAsia" w:ascii="仿宋_GB2312" w:hAnsi="仿宋_GB2312" w:eastAsia="仿宋_GB2312" w:cs="仿宋_GB2312"/>
          <w:b/>
          <w:bCs/>
          <w:color w:val="ff0000"/>
          <w:sz w:val="24"/>
        </w:rPr>
      </w:pPr>
      <w:r>
        <w:rPr>
          <w:rFonts w:hint="eastAsia" w:ascii="仿宋_GB2312" w:hAnsi="仿宋_GB2312" w:eastAsia="仿宋_GB2312" w:cs="仿宋_GB2312"/>
          <w:sz w:val="24"/>
        </w:rPr>
        <w:t xml:space="preserve">磋商方式：</w:t>
      </w:r>
      <w:r>
        <w:rPr>
          <w:rFonts w:hint="eastAsia" w:ascii="仿宋" w:hAnsi="仿宋" w:eastAsia="仿宋" w:cs="仿宋"/>
          <w:bCs/>
          <w:color w:val="auto"/>
          <w:sz w:val="24"/>
          <w:szCs w:val="24"/>
          <w:highlight w:val="none"/>
        </w:rPr>
        <w:t xml:space="preserve">磋商方式：</w:t>
      </w:r>
      <w:r>
        <w:rPr>
          <w:rFonts w:hint="eastAsia" w:ascii="仿宋" w:hAnsi="仿宋" w:eastAsia="仿宋" w:cs="仿宋"/>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b/>
          <w:color w:val="auto"/>
          <w:sz w:val="24"/>
          <w:szCs w:val="24"/>
          <w:highlight w:val="none"/>
          <w:lang w:eastAsia="zh-CN"/>
        </w:rPr>
        <w:t xml:space="preserve">，磋商结束后，请及时对磋商进行磋商函响应，未响应的视同放弃</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         </w:t>
      </w:r>
      <w:r>
        <w:rPr>
          <w:rFonts w:hint="eastAsia" w:ascii="仿宋_GB2312" w:hAnsi="仿宋_GB2312" w:eastAsia="仿宋_GB2312" w:cs="仿宋_GB2312"/>
          <w:b/>
          <w:bCs/>
          <w:sz w:val="24"/>
        </w:rPr>
        <w:t xml:space="preserve">本项目报价采用二轮报价，投标人应凭CA数字证书以及自备的能够登录“苏采云”系统的电脑在规定时间内进行二轮报价，</w:t>
      </w:r>
      <w:r>
        <w:rPr>
          <w:rFonts w:hint="eastAsia" w:ascii="仿宋_GB2312" w:hAnsi="仿宋_GB2312" w:eastAsia="仿宋_GB2312" w:cs="仿宋_GB2312"/>
          <w:b/>
          <w:bCs/>
          <w:color w:val="ff0000"/>
          <w:sz w:val="24"/>
        </w:rPr>
        <w:t xml:space="preserve">如未报价，视为响应无效，将不参与后续评标。</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经磋商确定最终采购需求和提交最后报价的供应商后，由磋商小组采用综合评分法对提交最后报价的供应商的响应文件和最后报价进行综合评分。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按响应无效处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在评审过程中，磋商小组应当要求其在评审现场合理的时间内提供成本构成书面说明，并递交相关证明材料。供应商书面说明应当按照国家财务会计制度的规定要求，逐项就供应商提供的货物和服务的主营业务成本（应根据供应商企业类型予以区别）、税金及附加、销售费用、管理费用、财务费用等成本构成事项详细陈述。</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书面说明应当签字确认或者加盖公章，否则无效。书面说明的签字确认，供应商为法人的，由其法定代表人或者授权代表签字确认；供应商为其他组织的，由其主要负责人或者授权代表签字确认；供应商为自然人的，由其本人或者授权代表签字确认。</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磋商小组应当将其响应文件作为无效响应处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相关内容和要求见：《中华人民共和国政府采购法》、《中华人民共和国政府采购法实施条例》及《政府采购竞争性磋商采购方式管理暂行办法》。</w:t>
      </w:r>
      <w:r/>
    </w:p>
    <w:p>
      <w:pPr>
        <w:pStyle w:val="786"/>
        <w:ind w:firstLine="482"/>
        <w:keepLines w:val="0"/>
        <w:keepNext w:val="0"/>
        <w:pageBreakBefore w:val="0"/>
        <w:spacing w:line="440" w:lineRule="exact"/>
        <w:widowControl w:val="off"/>
        <w:rPr>
          <w:rFonts w:hint="eastAsia" w:ascii="仿宋_GB2312" w:hAnsi="仿宋_GB2312" w:eastAsia="仿宋_GB2312" w:cs="仿宋_GB2312"/>
          <w:color w:val="auto"/>
          <w:sz w:val="24"/>
        </w:rPr>
        <w:outlineLvl w:val="9"/>
      </w:pPr>
      <w:r>
        <w:rPr>
          <w:rFonts w:hint="eastAsia" w:ascii="仿宋_GB2312" w:hAnsi="仿宋_GB2312" w:eastAsia="仿宋_GB2312" w:cs="仿宋_GB2312"/>
          <w:b/>
          <w:bCs/>
          <w:color w:val="auto"/>
          <w:sz w:val="24"/>
          <w:highlight w:val="none"/>
        </w:rPr>
        <w:t xml:space="preserve">特别说明：《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本项目为政府购买服务项目。</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十三、评审方法和评审标准：</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1、评审方法：综合评分法</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2、评审标准：本项目选用综合评分法，即竞争性磋商响应文件满足竞争性磋商文件全部实质性要求，且按照评审因素的量化指标评审得分最高的供应商为成交候选人。综合评分的主要因素是：报价、技术、综合实力、实施方案、售后服务，以及相应的比重或者权值等。详见《磋商文件》第八章附件《评分细则》。</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十四、磋商过程中可能实质性变动的内容：</w:t>
      </w:r>
      <w:r/>
    </w:p>
    <w:p>
      <w:pPr>
        <w:ind w:firstLine="472"/>
        <w:spacing w:line="360" w:lineRule="auto"/>
        <w:rPr>
          <w:rFonts w:hint="eastAsia" w:ascii="仿宋_GB2312" w:hAnsi="仿宋_GB2312" w:eastAsia="仿宋_GB2312" w:cs="仿宋_GB2312"/>
        </w:rPr>
      </w:pPr>
      <w:r>
        <w:rPr>
          <w:rFonts w:hint="eastAsia" w:ascii="仿宋_GB2312" w:hAnsi="仿宋_GB2312" w:eastAsia="仿宋_GB2312" w:cs="仿宋_GB2312"/>
          <w:sz w:val="24"/>
        </w:rPr>
        <w:t xml:space="preserve">在磋商过程中，磋商小组可以根据《磋商文件》和磋商情况实质性变动采购需求中的技术、服务要求以及合同草案条款。</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 xml:space="preserve">十五、</w:t>
      </w:r>
      <w:r>
        <w:rPr>
          <w:rFonts w:hint="eastAsia" w:ascii="仿宋_GB2312" w:hAnsi="仿宋_GB2312" w:eastAsia="仿宋_GB2312" w:cs="仿宋_GB2312"/>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02"/>
        <w:rPr>
          <w:rFonts w:hint="eastAsia" w:ascii="仿宋_GB2312" w:hAnsi="仿宋_GB2312" w:eastAsia="仿宋_GB2312" w:cs="仿宋_GB2312"/>
          <w:bCs w:val="0"/>
          <w:sz w:val="24"/>
          <w:szCs w:val="24"/>
        </w:rPr>
      </w:pPr>
      <w:r>
        <w:rPr>
          <w:rFonts w:hint="eastAsia" w:ascii="仿宋_GB2312" w:hAnsi="仿宋_GB2312" w:eastAsia="仿宋_GB2312" w:cs="仿宋_GB2312"/>
          <w:sz w:val="24"/>
          <w:szCs w:val="24"/>
        </w:rPr>
        <w:t xml:space="preserve">第五章 确定成交供应商及合同签订等</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十六、成交结果确认：</w:t>
      </w:r>
      <w:r/>
    </w:p>
    <w:p>
      <w:pPr>
        <w:ind w:firstLine="472"/>
        <w:spacing w:line="360" w:lineRule="auto"/>
        <w:rPr>
          <w:rFonts w:hint="eastAsia" w:ascii="仿宋_GB2312" w:hAnsi="仿宋_GB2312" w:eastAsia="仿宋_GB2312" w:cs="仿宋_GB2312"/>
          <w:bCs/>
          <w:sz w:val="24"/>
        </w:rPr>
      </w:pPr>
      <w:r>
        <w:rPr>
          <w:rFonts w:hint="eastAsia" w:ascii="仿宋_GB2312" w:hAnsi="仿宋_GB2312" w:eastAsia="仿宋_GB2312" w:cs="仿宋_GB2312"/>
          <w:bCs/>
          <w:sz w:val="24"/>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72"/>
        <w:spacing w:line="360" w:lineRule="auto"/>
        <w:rPr>
          <w:rFonts w:hint="eastAsia" w:ascii="仿宋_GB2312" w:hAnsi="仿宋_GB2312" w:eastAsia="仿宋_GB2312" w:cs="仿宋_GB2312"/>
          <w:bCs/>
          <w:sz w:val="24"/>
        </w:rPr>
      </w:pPr>
      <w:r>
        <w:rPr>
          <w:rFonts w:hint="eastAsia" w:ascii="仿宋_GB2312" w:hAnsi="仿宋_GB2312" w:eastAsia="仿宋_GB2312" w:cs="仿宋_GB2312"/>
          <w:b/>
          <w:sz w:val="24"/>
        </w:rPr>
        <w:t xml:space="preserve">十七、</w:t>
      </w:r>
      <w:r>
        <w:rPr>
          <w:rFonts w:hint="eastAsia" w:ascii="仿宋_GB2312" w:hAnsi="仿宋_GB2312" w:eastAsia="仿宋_GB2312" w:cs="仿宋_GB2312"/>
          <w:bCs/>
          <w:sz w:val="24"/>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p>
    <w:p>
      <w:pPr>
        <w:ind w:firstLine="472"/>
        <w:spacing w:line="360" w:lineRule="auto"/>
        <w:rPr>
          <w:rFonts w:hint="eastAsia" w:ascii="仿宋_GB2312" w:hAnsi="仿宋_GB2312" w:eastAsia="仿宋_GB2312" w:cs="仿宋_GB2312"/>
          <w:bCs/>
          <w:sz w:val="24"/>
        </w:rPr>
      </w:pPr>
      <w:r>
        <w:rPr>
          <w:rFonts w:hint="eastAsia" w:ascii="仿宋_GB2312" w:hAnsi="仿宋_GB2312" w:eastAsia="仿宋_GB2312" w:cs="仿宋_GB2312"/>
          <w:b/>
          <w:sz w:val="24"/>
        </w:rPr>
        <w:t xml:space="preserve">十八、</w:t>
      </w:r>
      <w:r>
        <w:rPr>
          <w:rFonts w:hint="eastAsia" w:ascii="仿宋_GB2312" w:hAnsi="仿宋_GB2312" w:eastAsia="仿宋_GB2312" w:cs="仿宋_GB2312"/>
          <w:bCs/>
          <w:sz w:val="24"/>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十九、成交结果公告</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自在采购结果确认后，采购代理机构将在法定网站发布成交公告，将采购结果告知采购当事人，成交结果在</w:t>
      </w:r>
      <w:r>
        <w:rPr>
          <w:rFonts w:hint="eastAsia" w:ascii="仿宋_GB2312" w:hAnsi="仿宋_GB2312" w:eastAsia="仿宋_GB2312" w:cs="仿宋_GB2312"/>
          <w:b/>
          <w:sz w:val="24"/>
        </w:rPr>
        <w:t xml:space="preserve">徐州政府采购网http://czj.xz.gov.cn/Home/HomeIndex</w:t>
      </w:r>
      <w:r>
        <w:rPr>
          <w:rFonts w:hint="eastAsia" w:ascii="仿宋_GB2312" w:hAnsi="仿宋_GB2312" w:eastAsia="仿宋_GB2312" w:cs="仿宋_GB2312"/>
          <w:sz w:val="24"/>
        </w:rPr>
        <w:t xml:space="preserve">上公布。</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采购人：新沂市自然资源和规划局</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联系人：马云波</w:t>
      </w:r>
      <w:r/>
    </w:p>
    <w:p>
      <w:pPr>
        <w:ind w:firstLine="472"/>
        <w:spacing w:line="360" w:lineRule="auto"/>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rPr>
        <w:t xml:space="preserve">联系电话：15852291515</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采购代理公司：</w:t>
      </w:r>
      <w:r>
        <w:rPr>
          <w:rFonts w:hint="eastAsia" w:ascii="仿宋_GB2312" w:hAnsi="仿宋_GB2312" w:eastAsia="仿宋_GB2312" w:cs="仿宋_GB2312"/>
          <w:sz w:val="24"/>
          <w:lang w:eastAsia="zh-CN"/>
        </w:rPr>
        <w:t xml:space="preserve">江苏伟业房地产土地评估造价咨询有限公司</w:t>
      </w:r>
      <w:r/>
    </w:p>
    <w:p>
      <w:pPr>
        <w:ind w:firstLine="472"/>
        <w:spacing w:line="360" w:lineRule="auto"/>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rPr>
        <w:t xml:space="preserve">联系人：</w:t>
      </w:r>
      <w:r>
        <w:rPr>
          <w:rFonts w:hint="eastAsia" w:ascii="仿宋_GB2312" w:hAnsi="仿宋_GB2312" w:eastAsia="仿宋_GB2312" w:cs="仿宋_GB2312"/>
          <w:sz w:val="24"/>
          <w:lang w:eastAsia="zh-CN"/>
        </w:rPr>
        <w:t xml:space="preserve">胡 楠</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电  话：</w:t>
      </w:r>
      <w:r>
        <w:rPr>
          <w:rFonts w:hint="eastAsia" w:ascii="仿宋_GB2312" w:hAnsi="仿宋_GB2312" w:eastAsia="仿宋_GB2312" w:cs="仿宋_GB2312"/>
          <w:sz w:val="24"/>
          <w:lang w:eastAsia="zh-CN"/>
        </w:rPr>
        <w:t xml:space="preserve">18751777650</w:t>
      </w:r>
      <w:r/>
    </w:p>
    <w:p>
      <w:pPr>
        <w:ind w:firstLine="472"/>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rPr>
        <w:t xml:space="preserve">联系地址：</w:t>
      </w:r>
      <w:r>
        <w:rPr>
          <w:rFonts w:hint="eastAsia" w:ascii="仿宋_GB2312" w:hAnsi="仿宋_GB2312" w:eastAsia="仿宋_GB2312" w:cs="仿宋_GB2312"/>
          <w:sz w:val="24"/>
          <w:lang w:eastAsia="zh-CN"/>
        </w:rPr>
        <w:t xml:space="preserve">新沂市黄沭路9-47号</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br w:type="page" w:clear="all"/>
      </w:r>
      <w:r/>
    </w:p>
    <w:p>
      <w:pPr>
        <w:pStyle w:val="80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第六章 磋商文件的澄清或者修改</w:t>
      </w:r>
      <w:r/>
    </w:p>
    <w:p>
      <w:pPr>
        <w:ind w:firstLine="472"/>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二十、《磋商文件》的澄清或者修改：</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0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第七章 询问和质疑</w:t>
      </w:r>
      <w:r/>
    </w:p>
    <w:p>
      <w:pPr>
        <w:ind w:firstLine="472"/>
        <w:spacing w:line="360" w:lineRule="auto"/>
        <w:widowControl/>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二十一、询问和质疑：</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质疑接收人：</w:t>
      </w:r>
      <w:r>
        <w:rPr>
          <w:rFonts w:hint="eastAsia" w:ascii="仿宋_GB2312" w:hAnsi="仿宋_GB2312" w:eastAsia="仿宋_GB2312" w:cs="仿宋_GB2312"/>
          <w:color w:val="auto"/>
          <w:sz w:val="24"/>
          <w:lang w:eastAsia="zh-CN"/>
        </w:rPr>
        <w:t xml:space="preserve">胡 楠</w:t>
      </w:r>
      <w:r>
        <w:rPr>
          <w:rFonts w:hint="eastAsia" w:ascii="仿宋_GB2312" w:hAnsi="仿宋_GB2312" w:eastAsia="仿宋_GB2312" w:cs="仿宋_GB2312"/>
          <w:color w:val="auto"/>
          <w:sz w:val="24"/>
        </w:rPr>
        <w:t xml:space="preserve">      </w:t>
      </w:r>
      <w:r/>
    </w:p>
    <w:p>
      <w:pPr>
        <w:ind w:firstLine="472"/>
        <w:spacing w:line="360" w:lineRule="auto"/>
        <w:widowControl/>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联系电话：</w:t>
      </w:r>
      <w:r>
        <w:rPr>
          <w:rFonts w:hint="eastAsia" w:ascii="仿宋_GB2312" w:hAnsi="仿宋_GB2312" w:eastAsia="仿宋_GB2312" w:cs="仿宋_GB2312"/>
          <w:color w:val="auto"/>
          <w:sz w:val="24"/>
          <w:lang w:eastAsia="zh-CN"/>
        </w:rPr>
        <w:t xml:space="preserve">18751777650</w:t>
      </w:r>
      <w:r/>
    </w:p>
    <w:p>
      <w:pPr>
        <w:ind w:firstLine="472"/>
        <w:spacing w:line="360" w:lineRule="auto"/>
        <w:widowControl/>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地址：</w:t>
      </w:r>
      <w:r>
        <w:rPr>
          <w:rFonts w:hint="eastAsia" w:ascii="仿宋_GB2312" w:hAnsi="仿宋_GB2312" w:eastAsia="仿宋_GB2312" w:cs="仿宋_GB2312"/>
          <w:sz w:val="24"/>
          <w:lang w:eastAsia="zh-CN"/>
        </w:rPr>
        <w:t xml:space="preserve">新沂市黄沭路9-47号</w:t>
      </w:r>
      <w:r/>
    </w:p>
    <w:p>
      <w:pPr>
        <w:pStyle w:val="802"/>
        <w:numPr>
          <w:ilvl w:val="0"/>
          <w:numId w:val="1"/>
        </w:num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br w:type="page" w:clear="all"/>
      </w:r>
      <w:r>
        <w:rPr>
          <w:rFonts w:hint="eastAsia" w:ascii="仿宋_GB2312" w:hAnsi="仿宋_GB2312" w:eastAsia="仿宋_GB2312" w:cs="仿宋_GB2312"/>
          <w:sz w:val="24"/>
          <w:szCs w:val="24"/>
        </w:rPr>
        <w:t xml:space="preserve">附  件</w:t>
      </w:r>
      <w:r/>
    </w:p>
    <w:p>
      <w:pPr>
        <w:ind w:firstLine="472"/>
        <w:spacing w:line="360" w:lineRule="auto"/>
        <w:widowControl/>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二十二、附件：附后</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1、《评分细则》</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2、《采购需求》</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3、《磋商报价表》</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4、《偏离表》</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5、《承诺书》</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6、《法人授权委托书》</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7、《供应商参加政府采购活动前3年内在经营活动中没有重大违法记录的书面声明》</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8、《中小企业声明函》</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9、《残疾人福利性单位声明函》</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10、《方案》</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11、《合同草案条款》</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12、《具备履行合同所必需的设备和专业技术能力的书面声明》</w:t>
      </w:r>
      <w:r/>
    </w:p>
    <w:p>
      <w:pPr>
        <w:ind w:firstLine="47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13、《招标代理服务收费标准》</w:t>
      </w:r>
      <w:r/>
    </w:p>
    <w:p>
      <w:pPr>
        <w:pStyle w:val="971"/>
        <w:rPr>
          <w:rFonts w:hint="eastAsia" w:ascii="仿宋_GB2312" w:hAnsi="仿宋_GB2312" w:eastAsia="仿宋_GB2312" w:cs="仿宋_GB2312"/>
          <w:sz w:val="24"/>
        </w:rPr>
      </w:pPr>
      <w:r>
        <w:rPr>
          <w:rFonts w:hint="eastAsia" w:ascii="仿宋_GB2312" w:hAnsi="仿宋_GB2312" w:eastAsia="仿宋_GB2312" w:cs="仿宋_GB2312"/>
          <w:sz w:val="24"/>
        </w:rPr>
      </w:r>
      <w:r/>
    </w:p>
    <w:p>
      <w:pPr>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791"/>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791"/>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791"/>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791"/>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pStyle w:val="791"/>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r>
      <w:r/>
    </w:p>
    <w:p>
      <w:pPr>
        <w:rPr>
          <w:rFonts w:hint="eastAsia" w:ascii="仿宋_GB2312" w:hAnsi="仿宋_GB2312" w:eastAsia="仿宋_GB2312" w:cs="仿宋_GB2312"/>
          <w:color w:val="0000ff"/>
          <w:sz w:val="24"/>
        </w:rPr>
      </w:pPr>
      <w:r>
        <w:rPr>
          <w:rFonts w:hint="eastAsia" w:ascii="仿宋_GB2312" w:hAnsi="仿宋_GB2312" w:eastAsia="仿宋_GB2312" w:cs="仿宋_GB2312"/>
          <w:color w:val="0000ff"/>
          <w:sz w:val="24"/>
        </w:rPr>
        <w:br w:type="page" w:clear="all"/>
      </w:r>
      <w:r/>
    </w:p>
    <w:p>
      <w:pPr>
        <w:ind w:firstLine="480"/>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1、评分细则</w:t>
      </w:r>
      <w:bookmarkStart w:id="2" w:name="第六章__采购需求"/>
      <w:r/>
      <w:bookmarkEnd w:id="2"/>
      <w:r/>
      <w:r/>
    </w:p>
    <w:p>
      <w:pPr>
        <w:rPr>
          <w:rStyle w:val="963"/>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tbl>
      <w:tblPr>
        <w:tblStyle w:val="745"/>
        <w:tblW w:w="85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319"/>
        <w:gridCol w:w="6521"/>
        <w:gridCol w:w="5"/>
      </w:tblGrid>
      <w:tr>
        <w:trPr>
          <w:jc w:val="center"/>
          <w:trHeight w:val="699"/>
        </w:trPr>
        <w:tc>
          <w:tcPr>
            <w:tcMar>
              <w:left w:w="108" w:type="dxa"/>
              <w:top w:w="0" w:type="dxa"/>
              <w:right w:w="108" w:type="dxa"/>
              <w:bottom w:w="0" w:type="dxa"/>
            </w:tcMar>
            <w:tcW w:w="721" w:type="dxa"/>
            <w:vAlign w:val="center"/>
            <w:textDirection w:val="lrTb"/>
            <w:noWrap w:val="false"/>
          </w:tcPr>
          <w:p>
            <w:pPr>
              <w:ind w:right="0"/>
              <w:spacing w:before="0" w:after="0" w:line="300" w:lineRule="atLeast"/>
              <w:rPr>
                <w:rFonts w:hint="eastAsia" w:ascii="仿宋_GB2312" w:hAnsi="仿宋_GB2312" w:eastAsia="仿宋_GB2312" w:cs="仿宋_GB2312"/>
                <w:b/>
                <w:color w:val="auto"/>
                <w:sz w:val="22"/>
                <w:szCs w:val="2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auto"/>
                <w:sz w:val="22"/>
                <w:szCs w:val="22"/>
              </w:rPr>
            </w:r>
            <w:r/>
          </w:p>
        </w:tc>
        <w:tc>
          <w:tcPr>
            <w:tcMar>
              <w:left w:w="108" w:type="dxa"/>
              <w:top w:w="0" w:type="dxa"/>
              <w:right w:w="108" w:type="dxa"/>
              <w:bottom w:w="0" w:type="dxa"/>
            </w:tcMar>
            <w:tcW w:w="1319" w:type="dxa"/>
            <w:vAlign w:val="center"/>
            <w:textDirection w:val="lrTb"/>
            <w:noWrap w:val="false"/>
          </w:tcPr>
          <w:p>
            <w:pPr>
              <w:ind w:right="0"/>
              <w:jc w:val="center"/>
              <w:spacing w:before="0" w:after="0" w:line="300" w:lineRule="atLeast"/>
              <w:rPr>
                <w:rFonts w:hint="eastAsia" w:ascii="仿宋_GB2312" w:hAnsi="仿宋_GB2312" w:eastAsia="仿宋_GB2312" w:cs="仿宋_GB2312"/>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auto"/>
                <w:sz w:val="22"/>
                <w:szCs w:val="22"/>
                <w:lang w:val="en-US" w:eastAsia="zh-CN"/>
              </w:rPr>
              <w:t xml:space="preserve">评审项目</w:t>
            </w:r>
            <w:r/>
          </w:p>
        </w:tc>
        <w:tc>
          <w:tcPr>
            <w:gridSpan w:val="2"/>
            <w:tcMar>
              <w:left w:w="108" w:type="dxa"/>
              <w:top w:w="0" w:type="dxa"/>
              <w:right w:w="108" w:type="dxa"/>
              <w:bottom w:w="0" w:type="dxa"/>
            </w:tcMar>
            <w:tcW w:w="6526" w:type="dxa"/>
            <w:vAlign w:val="center"/>
            <w:textDirection w:val="lrTb"/>
            <w:noWrap w:val="false"/>
          </w:tcPr>
          <w:p>
            <w:pPr>
              <w:ind w:right="0"/>
              <w:jc w:val="center"/>
              <w:spacing w:before="0" w:after="0" w:line="300" w:lineRule="atLeast"/>
              <w:rPr>
                <w:rFonts w:hint="eastAsia" w:ascii="仿宋_GB2312" w:hAnsi="仿宋_GB2312" w:eastAsia="仿宋_GB2312" w:cs="仿宋_GB2312"/>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auto"/>
                <w:sz w:val="22"/>
                <w:szCs w:val="22"/>
              </w:rPr>
              <w:t xml:space="preserve">评分标准</w:t>
            </w:r>
            <w:r/>
          </w:p>
        </w:tc>
      </w:tr>
      <w:tr>
        <w:trPr>
          <w:jc w:val="center"/>
          <w:trHeight w:val="1619"/>
        </w:trPr>
        <w:tc>
          <w:tcPr>
            <w:tcMar>
              <w:left w:w="108" w:type="dxa"/>
              <w:top w:w="0" w:type="dxa"/>
              <w:right w:w="108" w:type="dxa"/>
              <w:bottom w:w="0" w:type="dxa"/>
            </w:tcMar>
            <w:tcW w:w="721" w:type="dxa"/>
            <w:vAlign w:val="center"/>
            <w:textDirection w:val="lrTb"/>
            <w:noWrap w:val="false"/>
          </w:tcPr>
          <w:p>
            <w:pPr>
              <w:pStyle w:val="1033"/>
              <w:jc w:val="center"/>
              <w:spacing w:line="36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t xml:space="preserve">价格部分</w:t>
            </w:r>
            <w:r/>
          </w:p>
          <w:p>
            <w:pPr>
              <w:jc w:val="center"/>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rPr>
              <w:t xml:space="preserve">（</w:t>
            </w:r>
            <w:r>
              <w:rPr>
                <w:rFonts w:hint="eastAsia" w:ascii="仿宋_GB2312" w:hAnsi="仿宋_GB2312" w:eastAsia="仿宋_GB2312" w:cs="仿宋_GB2312"/>
                <w:color w:val="auto"/>
                <w:sz w:val="22"/>
                <w:szCs w:val="22"/>
                <w:lang w:val="en-US" w:eastAsia="zh-CN"/>
              </w:rPr>
              <w:t xml:space="preserve">1</w:t>
            </w:r>
            <w:r>
              <w:rPr>
                <w:rFonts w:hint="eastAsia" w:ascii="仿宋_GB2312" w:hAnsi="仿宋_GB2312" w:eastAsia="仿宋_GB2312" w:cs="仿宋_GB2312"/>
                <w:color w:val="auto"/>
                <w:sz w:val="22"/>
                <w:szCs w:val="22"/>
              </w:rPr>
              <w:t xml:space="preserve">0分）</w:t>
            </w:r>
            <w:r/>
          </w:p>
        </w:tc>
        <w:tc>
          <w:tcPr>
            <w:tcMar>
              <w:left w:w="108" w:type="dxa"/>
              <w:top w:w="0" w:type="dxa"/>
              <w:right w:w="108" w:type="dxa"/>
              <w:bottom w:w="0" w:type="dxa"/>
            </w:tcMar>
            <w:tcW w:w="1319" w:type="dxa"/>
            <w:vAlign w:val="center"/>
            <w:textDirection w:val="lrTb"/>
            <w:noWrap w:val="false"/>
          </w:tcPr>
          <w:p>
            <w:pPr>
              <w:pStyle w:val="1033"/>
              <w:jc w:val="center"/>
              <w:spacing w:line="36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t xml:space="preserve">价格分</w:t>
            </w:r>
            <w:r/>
          </w:p>
          <w:p>
            <w:pPr>
              <w:pStyle w:val="1033"/>
              <w:jc w:val="center"/>
              <w:spacing w:line="360" w:lineRule="auto"/>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rPr>
              <w:t xml:space="preserve">（</w:t>
            </w:r>
            <w:r>
              <w:rPr>
                <w:rFonts w:hint="eastAsia" w:ascii="仿宋_GB2312" w:hAnsi="仿宋_GB2312" w:eastAsia="仿宋_GB2312" w:cs="仿宋_GB2312"/>
                <w:color w:val="auto"/>
                <w:sz w:val="22"/>
                <w:szCs w:val="22"/>
                <w:lang w:val="en-US" w:eastAsia="zh-CN"/>
              </w:rPr>
              <w:t xml:space="preserve">1</w:t>
            </w:r>
            <w:r>
              <w:rPr>
                <w:rFonts w:hint="eastAsia" w:ascii="仿宋_GB2312" w:hAnsi="仿宋_GB2312" w:eastAsia="仿宋_GB2312" w:cs="仿宋_GB2312"/>
                <w:color w:val="auto"/>
                <w:sz w:val="22"/>
                <w:szCs w:val="22"/>
              </w:rPr>
              <w:t xml:space="preserve">0分）</w:t>
            </w:r>
            <w:r/>
          </w:p>
        </w:tc>
        <w:tc>
          <w:tcPr>
            <w:gridSpan w:val="2"/>
            <w:tcMar>
              <w:left w:w="108" w:type="dxa"/>
              <w:top w:w="0" w:type="dxa"/>
              <w:right w:w="108" w:type="dxa"/>
              <w:bottom w:w="0" w:type="dxa"/>
            </w:tcMar>
            <w:tcW w:w="6526" w:type="dxa"/>
            <w:vAlign w:val="center"/>
            <w:textDirection w:val="lrTb"/>
            <w:noWrap w:val="false"/>
          </w:tcPr>
          <w:p>
            <w:pPr>
              <w:ind w:right="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本项目价格评分采用低价优先法计算，即满足磋商文件要求且投标价格最低的有效投标报价为评标基准价，其价格分为满分。其他供应商报价得分：投标报价得分=(评标基准价／投标报价)×10（四舍五入后保留小数点后两位)。</w:t>
            </w:r>
            <w:r/>
          </w:p>
        </w:tc>
      </w:tr>
      <w:tr>
        <w:trPr>
          <w:jc w:val="center"/>
          <w:trHeight w:val="1140"/>
        </w:trPr>
        <w:tc>
          <w:tcPr>
            <w:tcMar>
              <w:left w:w="108" w:type="dxa"/>
              <w:top w:w="0" w:type="dxa"/>
              <w:right w:w="108" w:type="dxa"/>
              <w:bottom w:w="0" w:type="dxa"/>
            </w:tcMar>
            <w:tcW w:w="721" w:type="dxa"/>
            <w:vAlign w:val="center"/>
            <w:vMerge w:val="restart"/>
            <w:textDirection w:val="lrTb"/>
            <w:noWrap w:val="false"/>
          </w:tcPr>
          <w:p>
            <w:pPr>
              <w:ind w:left="0" w:right="0" w:firstLine="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商务部分（23分）</w:t>
            </w:r>
            <w:r/>
          </w:p>
        </w:tc>
        <w:tc>
          <w:tcPr>
            <w:tcMar>
              <w:left w:w="108" w:type="dxa"/>
              <w:top w:w="0" w:type="dxa"/>
              <w:right w:w="108" w:type="dxa"/>
              <w:bottom w:w="0" w:type="dxa"/>
            </w:tcMar>
            <w:tcW w:w="1319" w:type="dxa"/>
            <w:vAlign w:val="center"/>
            <w:textDirection w:val="lrTb"/>
            <w:noWrap w:val="false"/>
          </w:tcPr>
          <w:p>
            <w:pPr>
              <w:ind w:left="0" w:right="0" w:firstLine="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投标人业绩（4分）</w:t>
            </w:r>
            <w:r/>
          </w:p>
        </w:tc>
        <w:tc>
          <w:tcPr>
            <w:gridSpan w:val="2"/>
            <w:tcMar>
              <w:left w:w="108" w:type="dxa"/>
              <w:top w:w="0" w:type="dxa"/>
              <w:right w:w="108" w:type="dxa"/>
              <w:bottom w:w="0" w:type="dxa"/>
            </w:tcMar>
            <w:tcW w:w="6526" w:type="dxa"/>
            <w:vAlign w:val="top"/>
            <w:textDirection w:val="lrTb"/>
            <w:noWrap w:val="false"/>
          </w:tcPr>
          <w:p>
            <w:pPr>
              <w:ind w:left="0" w:right="0" w:firstLine="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自2020年以来（以合同签订日期为准）投标人承接过类似项目的业绩证明材料，每提供一个得2分，最高得4分；（提供中标通知书、合同原件扫描上传并加盖电子签章，二者必须同时具备，否则不得分；测绘单位间分包或转包的合同不计分）。</w:t>
            </w:r>
            <w:r/>
          </w:p>
        </w:tc>
      </w:tr>
      <w:tr>
        <w:trPr>
          <w:jc w:val="center"/>
          <w:trHeight w:val="1464"/>
        </w:trPr>
        <w:tc>
          <w:tcPr>
            <w:tcW w:w="721" w:type="dxa"/>
            <w:vAlign w:val="top"/>
            <w:vMerge w:val="continue"/>
            <w:textDirection w:val="lrTb"/>
            <w:noWrap w:val="false"/>
          </w:tcPr>
          <w:p>
            <w:pPr>
              <w:spacing w:after="0" w:line="24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r>
            <w:r/>
          </w:p>
        </w:tc>
        <w:tc>
          <w:tcPr>
            <w:tcMar>
              <w:left w:w="108" w:type="dxa"/>
              <w:top w:w="0" w:type="dxa"/>
              <w:right w:w="108" w:type="dxa"/>
              <w:bottom w:w="0" w:type="dxa"/>
            </w:tcMar>
            <w:tcW w:w="1319" w:type="dxa"/>
            <w:vAlign w:val="center"/>
            <w:textDirection w:val="lrTb"/>
            <w:noWrap w:val="false"/>
          </w:tcPr>
          <w:p>
            <w:pPr>
              <w:ind w:left="0" w:right="0" w:firstLine="0"/>
              <w:spacing w:before="0" w:after="0" w:line="300" w:lineRule="atLeast"/>
              <w:rPr>
                <w:rFonts w:hint="eastAsia" w:ascii="仿宋_GB2312" w:hAnsi="仿宋_GB2312" w:eastAsia="仿宋_GB2312" w:cs="仿宋_GB2312"/>
                <w:color w:val="auto"/>
                <w:sz w:val="22"/>
                <w:szCs w:val="2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lang w:val="en-US" w:eastAsia="zh-CN"/>
              </w:rPr>
              <w:t xml:space="preserve">企业资信</w:t>
            </w:r>
            <w:r>
              <w:rPr>
                <w:rFonts w:hint="eastAsia" w:ascii="仿宋_GB2312" w:hAnsi="仿宋_GB2312" w:eastAsia="仿宋_GB2312" w:cs="仿宋_GB2312"/>
                <w:color w:val="auto"/>
                <w:sz w:val="22"/>
                <w:szCs w:val="22"/>
              </w:rPr>
              <w:t xml:space="preserve">（</w:t>
            </w:r>
            <w:r>
              <w:rPr>
                <w:rFonts w:hint="eastAsia" w:ascii="仿宋_GB2312" w:hAnsi="仿宋_GB2312" w:eastAsia="仿宋_GB2312" w:cs="仿宋_GB2312"/>
                <w:color w:val="auto"/>
                <w:sz w:val="22"/>
                <w:szCs w:val="22"/>
                <w:lang w:val="en-US" w:eastAsia="zh-CN"/>
              </w:rPr>
              <w:t xml:space="preserve">4</w:t>
            </w:r>
            <w:r>
              <w:rPr>
                <w:rFonts w:hint="eastAsia" w:ascii="仿宋_GB2312" w:hAnsi="仿宋_GB2312" w:eastAsia="仿宋_GB2312" w:cs="仿宋_GB2312"/>
                <w:color w:val="auto"/>
                <w:sz w:val="22"/>
                <w:szCs w:val="22"/>
              </w:rPr>
              <w:t xml:space="preserve">分）</w:t>
            </w:r>
            <w:r/>
          </w:p>
        </w:tc>
        <w:tc>
          <w:tcPr>
            <w:gridSpan w:val="2"/>
            <w:tcMar>
              <w:left w:w="108" w:type="dxa"/>
              <w:top w:w="0" w:type="dxa"/>
              <w:right w:w="108" w:type="dxa"/>
              <w:bottom w:w="0" w:type="dxa"/>
            </w:tcMar>
            <w:tcW w:w="6526" w:type="dxa"/>
            <w:vAlign w:val="center"/>
            <w:textDirection w:val="lrTb"/>
            <w:noWrap w:val="false"/>
          </w:tcPr>
          <w:p>
            <w:pPr>
              <w:numPr>
                <w:ilvl w:val="0"/>
                <w:numId w:val="0"/>
              </w:numPr>
              <w:ind w:right="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rPr>
              <w:t xml:space="preserve">投标人具</w:t>
            </w:r>
            <w:r>
              <w:rPr>
                <w:rFonts w:hint="eastAsia" w:ascii="仿宋_GB2312" w:hAnsi="仿宋_GB2312" w:eastAsia="仿宋_GB2312" w:cs="仿宋_GB2312"/>
                <w:color w:val="auto"/>
                <w:sz w:val="22"/>
                <w:szCs w:val="22"/>
                <w:highlight w:val="none"/>
              </w:rPr>
              <w:t xml:space="preserve">有有效期内的质量管理体系认证证书、</w:t>
            </w:r>
            <w:r>
              <w:rPr>
                <w:rFonts w:hint="eastAsia" w:ascii="仿宋_GB2312" w:hAnsi="仿宋_GB2312" w:eastAsia="仿宋_GB2312" w:cs="仿宋_GB2312"/>
                <w:color w:val="auto"/>
                <w:sz w:val="22"/>
                <w:szCs w:val="22"/>
                <w:highlight w:val="none"/>
                <w:lang w:val="en-US" w:eastAsia="zh-CN"/>
              </w:rPr>
              <w:t xml:space="preserve">测量管理体系认证证书、企业诚信管理体系认证</w:t>
            </w:r>
            <w:r>
              <w:rPr>
                <w:rFonts w:hint="eastAsia" w:ascii="仿宋_GB2312" w:hAnsi="仿宋_GB2312" w:eastAsia="仿宋_GB2312" w:cs="仿宋_GB2312"/>
                <w:color w:val="auto"/>
                <w:sz w:val="22"/>
                <w:szCs w:val="22"/>
                <w:highlight w:val="none"/>
              </w:rPr>
              <w:t xml:space="preserve">证书，</w:t>
            </w:r>
            <w:r>
              <w:rPr>
                <w:rFonts w:hint="eastAsia" w:ascii="仿宋_GB2312" w:hAnsi="仿宋_GB2312" w:eastAsia="仿宋_GB2312" w:cs="仿宋_GB2312"/>
                <w:color w:val="auto"/>
                <w:sz w:val="22"/>
                <w:szCs w:val="22"/>
                <w:highlight w:val="none"/>
                <w:lang w:eastAsia="zh-CN"/>
              </w:rPr>
              <w:t xml:space="preserve">具备其中一个证书得</w:t>
            </w:r>
            <w:r>
              <w:rPr>
                <w:rFonts w:hint="eastAsia" w:ascii="仿宋_GB2312" w:hAnsi="仿宋_GB2312" w:eastAsia="仿宋_GB2312" w:cs="仿宋_GB2312"/>
                <w:color w:val="auto"/>
                <w:sz w:val="22"/>
                <w:szCs w:val="22"/>
                <w:highlight w:val="none"/>
                <w:lang w:val="en-US" w:eastAsia="zh-CN"/>
              </w:rPr>
              <w:t xml:space="preserve">1分，具备其中两个证书得2分，三个证书</w:t>
            </w:r>
            <w:r>
              <w:rPr>
                <w:rFonts w:hint="eastAsia" w:ascii="仿宋_GB2312" w:hAnsi="仿宋_GB2312" w:eastAsia="仿宋_GB2312" w:cs="仿宋_GB2312"/>
                <w:color w:val="auto"/>
                <w:sz w:val="22"/>
                <w:szCs w:val="22"/>
                <w:lang w:val="en-US" w:eastAsia="zh-CN"/>
              </w:rPr>
              <w:t xml:space="preserve">同时具备得4分。否则不得分。</w:t>
            </w:r>
            <w:r/>
          </w:p>
          <w:p>
            <w:pPr>
              <w:ind w:left="0" w:right="0" w:firstLine="0"/>
              <w:spacing w:before="0" w:after="0" w:line="300" w:lineRule="atLeast"/>
              <w:rPr>
                <w:rFonts w:hint="eastAsia" w:ascii="仿宋_GB2312" w:hAnsi="仿宋_GB2312" w:eastAsia="仿宋_GB2312" w:cs="仿宋_GB2312"/>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rPr>
              <w:t xml:space="preserve">投标文件中需提供证书原件</w:t>
            </w:r>
            <w:r>
              <w:rPr>
                <w:rFonts w:hint="eastAsia" w:ascii="仿宋_GB2312" w:hAnsi="仿宋_GB2312" w:eastAsia="仿宋_GB2312" w:cs="仿宋_GB2312"/>
                <w:color w:val="auto"/>
                <w:sz w:val="22"/>
                <w:szCs w:val="22"/>
                <w:lang w:val="en-US" w:eastAsia="zh-CN"/>
              </w:rPr>
              <w:t xml:space="preserve">扫描件加盖电子签章。</w:t>
            </w:r>
            <w:r/>
          </w:p>
        </w:tc>
      </w:tr>
      <w:tr>
        <w:trPr>
          <w:jc w:val="center"/>
          <w:trHeight w:val="1847"/>
        </w:trPr>
        <w:tc>
          <w:tcPr>
            <w:tcW w:w="721" w:type="dxa"/>
            <w:vAlign w:val="top"/>
            <w:vMerge w:val="continue"/>
            <w:textDirection w:val="lrTb"/>
            <w:noWrap w:val="false"/>
          </w:tcPr>
          <w:p>
            <w:pPr>
              <w:spacing w:after="0" w:line="240" w:lineRule="auto"/>
              <w:rPr>
                <w:rFonts w:hint="eastAsia" w:ascii="仿宋_GB2312" w:hAnsi="仿宋_GB2312" w:eastAsia="仿宋_GB2312" w:cs="仿宋_GB2312"/>
                <w:color w:val="auto"/>
                <w:sz w:val="22"/>
                <w:szCs w:val="22"/>
              </w:rPr>
            </w:pPr>
            <w:r>
              <w:rPr>
                <w:rFonts w:hint="eastAsia" w:ascii="仿宋_GB2312" w:hAnsi="仿宋_GB2312" w:eastAsia="仿宋_GB2312" w:cs="仿宋_GB2312"/>
                <w:color w:val="auto"/>
                <w:sz w:val="22"/>
                <w:szCs w:val="22"/>
              </w:rPr>
            </w:r>
            <w:r/>
          </w:p>
        </w:tc>
        <w:tc>
          <w:tcPr>
            <w:tcMar>
              <w:left w:w="108" w:type="dxa"/>
              <w:top w:w="0" w:type="dxa"/>
              <w:right w:w="108" w:type="dxa"/>
              <w:bottom w:w="0" w:type="dxa"/>
            </w:tcMar>
            <w:tcW w:w="1319" w:type="dxa"/>
            <w:vAlign w:val="center"/>
            <w:textDirection w:val="lrTb"/>
            <w:noWrap w:val="false"/>
          </w:tcPr>
          <w:p>
            <w:pPr>
              <w:pStyle w:val="1033"/>
              <w:jc w:val="both"/>
              <w:spacing w:line="360" w:lineRule="auto"/>
              <w:rPr>
                <w:rFonts w:hint="eastAsia" w:ascii="仿宋_GB2312" w:hAnsi="仿宋_GB2312" w:eastAsia="仿宋_GB2312" w:cs="仿宋_GB2312"/>
                <w:color w:val="auto"/>
                <w:sz w:val="22"/>
                <w:szCs w:val="22"/>
                <w:lang w:val="en-US" w:eastAsia="zh-CN"/>
              </w:rPr>
            </w:pPr>
            <w:r>
              <w:rPr>
                <w:rFonts w:hint="eastAsia" w:ascii="仿宋_GB2312" w:hAnsi="仿宋_GB2312" w:eastAsia="仿宋_GB2312" w:cs="仿宋_GB2312"/>
                <w:color w:val="auto"/>
                <w:sz w:val="22"/>
                <w:szCs w:val="22"/>
                <w:lang w:val="en-US" w:eastAsia="zh-CN"/>
              </w:rPr>
              <w:t xml:space="preserve">项目组人员（15</w:t>
            </w:r>
            <w:r>
              <w:rPr>
                <w:rFonts w:hint="eastAsia" w:ascii="仿宋_GB2312" w:hAnsi="仿宋_GB2312" w:eastAsia="仿宋_GB2312" w:cs="仿宋_GB2312"/>
                <w:color w:val="auto"/>
                <w:sz w:val="22"/>
                <w:szCs w:val="22"/>
              </w:rPr>
              <w:t xml:space="preserve">分）</w:t>
            </w:r>
            <w:r/>
          </w:p>
        </w:tc>
        <w:tc>
          <w:tcPr>
            <w:gridSpan w:val="2"/>
            <w:tcMar>
              <w:left w:w="108" w:type="dxa"/>
              <w:top w:w="0" w:type="dxa"/>
              <w:right w:w="108" w:type="dxa"/>
              <w:bottom w:w="0" w:type="dxa"/>
            </w:tcMar>
            <w:tcW w:w="6526" w:type="dxa"/>
            <w:vAlign w:val="center"/>
            <w:textDirection w:val="lrTb"/>
            <w:noWrap w:val="false"/>
          </w:tcPr>
          <w:p>
            <w:pPr>
              <w:numPr>
                <w:ilvl w:val="0"/>
                <w:numId w:val="2"/>
              </w:numPr>
              <w:ind w:left="0" w:right="0" w:firstLine="210"/>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拟派</w:t>
            </w:r>
            <w:r>
              <w:rPr>
                <w:rFonts w:hint="eastAsia" w:ascii="仿宋_GB2312" w:hAnsi="仿宋_GB2312" w:eastAsia="仿宋_GB2312" w:cs="仿宋_GB2312"/>
                <w:color w:val="auto"/>
                <w:sz w:val="22"/>
                <w:szCs w:val="22"/>
                <w:highlight w:val="none"/>
              </w:rPr>
              <w:t xml:space="preserve">项目负责人具有</w:t>
            </w:r>
            <w:r>
              <w:rPr>
                <w:rFonts w:hint="eastAsia" w:ascii="仿宋_GB2312" w:hAnsi="仿宋_GB2312" w:eastAsia="仿宋_GB2312" w:cs="仿宋_GB2312"/>
                <w:color w:val="auto"/>
                <w:sz w:val="22"/>
                <w:szCs w:val="22"/>
                <w:highlight w:val="none"/>
                <w:lang w:val="en-US" w:eastAsia="zh-CN"/>
              </w:rPr>
              <w:t xml:space="preserve">测绘中级工程师职称证书的得0.3分，具有</w:t>
            </w:r>
            <w:r>
              <w:rPr>
                <w:rFonts w:hint="eastAsia" w:ascii="仿宋_GB2312" w:hAnsi="仿宋_GB2312" w:eastAsia="仿宋_GB2312" w:cs="仿宋_GB2312"/>
                <w:color w:val="auto"/>
                <w:sz w:val="22"/>
                <w:szCs w:val="22"/>
                <w:highlight w:val="none"/>
              </w:rPr>
              <w:t xml:space="preserve">测绘</w:t>
            </w:r>
            <w:r>
              <w:rPr>
                <w:rFonts w:hint="eastAsia" w:ascii="仿宋_GB2312" w:hAnsi="仿宋_GB2312" w:eastAsia="仿宋_GB2312" w:cs="仿宋_GB2312"/>
                <w:color w:val="auto"/>
                <w:sz w:val="22"/>
                <w:szCs w:val="22"/>
                <w:highlight w:val="none"/>
                <w:lang w:val="en-US" w:eastAsia="zh-CN"/>
              </w:rPr>
              <w:t xml:space="preserve">高</w:t>
            </w:r>
            <w:r>
              <w:rPr>
                <w:rFonts w:hint="eastAsia" w:ascii="仿宋_GB2312" w:hAnsi="仿宋_GB2312" w:eastAsia="仿宋_GB2312" w:cs="仿宋_GB2312"/>
                <w:color w:val="auto"/>
                <w:sz w:val="22"/>
                <w:szCs w:val="22"/>
                <w:highlight w:val="none"/>
                <w:lang w:eastAsia="zh-CN"/>
              </w:rPr>
              <w:t xml:space="preserve">级</w:t>
            </w:r>
            <w:r>
              <w:rPr>
                <w:rFonts w:hint="eastAsia" w:ascii="仿宋_GB2312" w:hAnsi="仿宋_GB2312" w:eastAsia="仿宋_GB2312" w:cs="仿宋_GB2312"/>
                <w:color w:val="auto"/>
                <w:sz w:val="22"/>
                <w:szCs w:val="22"/>
                <w:highlight w:val="none"/>
                <w:lang w:val="en-US" w:eastAsia="zh-CN"/>
              </w:rPr>
              <w:t xml:space="preserve">及以上</w:t>
            </w:r>
            <w:r>
              <w:rPr>
                <w:rFonts w:hint="eastAsia" w:ascii="仿宋_GB2312" w:hAnsi="仿宋_GB2312" w:eastAsia="仿宋_GB2312" w:cs="仿宋_GB2312"/>
                <w:color w:val="auto"/>
                <w:sz w:val="22"/>
                <w:szCs w:val="22"/>
                <w:highlight w:val="none"/>
              </w:rPr>
              <w:t xml:space="preserve">工程师职称证书</w:t>
            </w:r>
            <w:r>
              <w:rPr>
                <w:rFonts w:hint="eastAsia" w:ascii="仿宋_GB2312" w:hAnsi="仿宋_GB2312" w:eastAsia="仿宋_GB2312" w:cs="仿宋_GB2312"/>
                <w:color w:val="auto"/>
                <w:sz w:val="22"/>
                <w:szCs w:val="22"/>
                <w:highlight w:val="none"/>
                <w:lang w:val="en-US" w:eastAsia="zh-CN"/>
              </w:rPr>
              <w:t xml:space="preserve">的得1分；同时具有</w:t>
            </w:r>
            <w:r>
              <w:rPr>
                <w:rFonts w:hint="eastAsia" w:ascii="仿宋_GB2312" w:hAnsi="仿宋_GB2312" w:eastAsia="仿宋_GB2312" w:cs="仿宋_GB2312"/>
                <w:color w:val="auto"/>
                <w:sz w:val="22"/>
                <w:szCs w:val="22"/>
                <w:highlight w:val="none"/>
              </w:rPr>
              <w:t xml:space="preserve">注册测绘师资格证书和</w:t>
            </w:r>
            <w:r>
              <w:rPr>
                <w:rFonts w:hint="eastAsia" w:ascii="仿宋_GB2312" w:hAnsi="仿宋_GB2312" w:eastAsia="仿宋_GB2312" w:cs="仿宋_GB2312"/>
                <w:color w:val="auto"/>
                <w:sz w:val="22"/>
                <w:szCs w:val="22"/>
                <w:highlight w:val="none"/>
                <w:lang w:val="en-US" w:eastAsia="zh-CN"/>
              </w:rPr>
              <w:t xml:space="preserve">成果管理人员岗位培训合格证书</w:t>
            </w:r>
            <w:r>
              <w:rPr>
                <w:rFonts w:hint="eastAsia" w:ascii="仿宋_GB2312" w:hAnsi="仿宋_GB2312" w:eastAsia="仿宋_GB2312" w:cs="仿宋_GB2312"/>
                <w:color w:val="auto"/>
                <w:sz w:val="22"/>
                <w:szCs w:val="22"/>
                <w:highlight w:val="none"/>
              </w:rPr>
              <w:t xml:space="preserve">的得</w:t>
            </w:r>
            <w:r>
              <w:rPr>
                <w:rFonts w:hint="eastAsia" w:ascii="仿宋_GB2312" w:hAnsi="仿宋_GB2312" w:eastAsia="仿宋_GB2312" w:cs="仿宋_GB2312"/>
                <w:color w:val="auto"/>
                <w:sz w:val="22"/>
                <w:szCs w:val="22"/>
                <w:highlight w:val="none"/>
                <w:lang w:val="en-US" w:eastAsia="zh-CN"/>
              </w:rPr>
              <w:t xml:space="preserve">2</w:t>
            </w:r>
            <w:r>
              <w:rPr>
                <w:rFonts w:hint="eastAsia" w:ascii="仿宋_GB2312" w:hAnsi="仿宋_GB2312" w:eastAsia="仿宋_GB2312" w:cs="仿宋_GB2312"/>
                <w:color w:val="auto"/>
                <w:sz w:val="22"/>
                <w:szCs w:val="22"/>
                <w:highlight w:val="none"/>
              </w:rPr>
              <w:t xml:space="preserve">分</w:t>
            </w:r>
            <w:r>
              <w:rPr>
                <w:rFonts w:hint="eastAsia" w:ascii="仿宋_GB2312" w:hAnsi="仿宋_GB2312" w:eastAsia="仿宋_GB2312" w:cs="仿宋_GB2312"/>
                <w:color w:val="auto"/>
                <w:sz w:val="22"/>
                <w:szCs w:val="22"/>
                <w:highlight w:val="none"/>
                <w:lang w:eastAsia="zh-CN"/>
              </w:rPr>
              <w:t xml:space="preserve">。</w:t>
            </w:r>
            <w:r>
              <w:rPr>
                <w:rFonts w:hint="eastAsia" w:ascii="仿宋_GB2312" w:hAnsi="仿宋_GB2312" w:eastAsia="仿宋_GB2312" w:cs="仿宋_GB2312"/>
                <w:color w:val="auto"/>
                <w:sz w:val="22"/>
                <w:szCs w:val="22"/>
                <w:highlight w:val="none"/>
                <w:lang w:val="en-US" w:eastAsia="zh-CN"/>
              </w:rPr>
              <w:t xml:space="preserve">本项最高得3分。</w:t>
            </w:r>
            <w:r/>
          </w:p>
          <w:p>
            <w:pPr>
              <w:numPr>
                <w:ilvl w:val="0"/>
                <w:numId w:val="2"/>
              </w:numPr>
              <w:ind w:left="0" w:right="0" w:firstLine="210"/>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拟派技术负责人具有测绘中级工程师职称证书的得0.3分，具有</w:t>
            </w:r>
            <w:r>
              <w:rPr>
                <w:rFonts w:hint="eastAsia" w:ascii="仿宋_GB2312" w:hAnsi="仿宋_GB2312" w:eastAsia="仿宋_GB2312" w:cs="仿宋_GB2312"/>
                <w:color w:val="auto"/>
                <w:sz w:val="22"/>
                <w:szCs w:val="22"/>
                <w:highlight w:val="none"/>
              </w:rPr>
              <w:t xml:space="preserve">测绘</w:t>
            </w:r>
            <w:r>
              <w:rPr>
                <w:rFonts w:hint="eastAsia" w:ascii="仿宋_GB2312" w:hAnsi="仿宋_GB2312" w:eastAsia="仿宋_GB2312" w:cs="仿宋_GB2312"/>
                <w:color w:val="auto"/>
                <w:sz w:val="22"/>
                <w:szCs w:val="22"/>
                <w:highlight w:val="none"/>
                <w:lang w:val="en-US" w:eastAsia="zh-CN"/>
              </w:rPr>
              <w:t xml:space="preserve">高</w:t>
            </w:r>
            <w:r>
              <w:rPr>
                <w:rFonts w:hint="eastAsia" w:ascii="仿宋_GB2312" w:hAnsi="仿宋_GB2312" w:eastAsia="仿宋_GB2312" w:cs="仿宋_GB2312"/>
                <w:color w:val="auto"/>
                <w:sz w:val="22"/>
                <w:szCs w:val="22"/>
                <w:highlight w:val="none"/>
                <w:lang w:eastAsia="zh-CN"/>
              </w:rPr>
              <w:t xml:space="preserve">级</w:t>
            </w:r>
            <w:r>
              <w:rPr>
                <w:rFonts w:hint="eastAsia" w:ascii="仿宋_GB2312" w:hAnsi="仿宋_GB2312" w:eastAsia="仿宋_GB2312" w:cs="仿宋_GB2312"/>
                <w:color w:val="auto"/>
                <w:sz w:val="22"/>
                <w:szCs w:val="22"/>
                <w:highlight w:val="none"/>
                <w:lang w:val="en-US" w:eastAsia="zh-CN"/>
              </w:rPr>
              <w:t xml:space="preserve">及以上工程师职称证书的得1分；同时具有注册测绘师资格证书和</w:t>
            </w:r>
            <w:r>
              <w:rPr>
                <w:rFonts w:hint="eastAsia" w:ascii="仿宋_GB2312" w:hAnsi="仿宋_GB2312" w:eastAsia="仿宋_GB2312" w:cs="仿宋_GB2312"/>
                <w:color w:val="000000"/>
                <w:sz w:val="22"/>
                <w:szCs w:val="22"/>
                <w:highlight w:val="none"/>
                <w:lang w:val="en-US" w:eastAsia="zh-CN" w:bidi="ar-SA"/>
              </w:rPr>
              <w:t xml:space="preserve">高级信息系统项目管理师</w:t>
            </w:r>
            <w:r>
              <w:rPr>
                <w:rFonts w:hint="eastAsia" w:ascii="仿宋_GB2312" w:hAnsi="仿宋_GB2312" w:eastAsia="仿宋_GB2312" w:cs="仿宋_GB2312"/>
                <w:color w:val="auto"/>
                <w:sz w:val="22"/>
                <w:szCs w:val="22"/>
                <w:highlight w:val="none"/>
                <w:lang w:val="en-US" w:eastAsia="zh-CN"/>
              </w:rPr>
              <w:t xml:space="preserve">证书的得2分。本项最高得3分。</w:t>
            </w:r>
            <w:r/>
          </w:p>
          <w:p>
            <w:pPr>
              <w:numPr>
                <w:ilvl w:val="0"/>
                <w:numId w:val="2"/>
              </w:numPr>
              <w:ind w:left="0" w:right="0" w:firstLine="210"/>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拟派质量负责人测绘中级工程师职称证书的得0.3分，具有</w:t>
            </w:r>
            <w:r>
              <w:rPr>
                <w:rFonts w:hint="eastAsia" w:ascii="仿宋_GB2312" w:hAnsi="仿宋_GB2312" w:eastAsia="仿宋_GB2312" w:cs="仿宋_GB2312"/>
                <w:color w:val="auto"/>
                <w:sz w:val="22"/>
                <w:szCs w:val="22"/>
                <w:highlight w:val="none"/>
              </w:rPr>
              <w:t xml:space="preserve">测绘</w:t>
            </w:r>
            <w:r>
              <w:rPr>
                <w:rFonts w:hint="eastAsia" w:ascii="仿宋_GB2312" w:hAnsi="仿宋_GB2312" w:eastAsia="仿宋_GB2312" w:cs="仿宋_GB2312"/>
                <w:color w:val="auto"/>
                <w:sz w:val="22"/>
                <w:szCs w:val="22"/>
                <w:highlight w:val="none"/>
                <w:lang w:val="en-US" w:eastAsia="zh-CN"/>
              </w:rPr>
              <w:t xml:space="preserve">高</w:t>
            </w:r>
            <w:r>
              <w:rPr>
                <w:rFonts w:hint="eastAsia" w:ascii="仿宋_GB2312" w:hAnsi="仿宋_GB2312" w:eastAsia="仿宋_GB2312" w:cs="仿宋_GB2312"/>
                <w:color w:val="auto"/>
                <w:sz w:val="22"/>
                <w:szCs w:val="22"/>
                <w:highlight w:val="none"/>
                <w:lang w:eastAsia="zh-CN"/>
              </w:rPr>
              <w:t xml:space="preserve">级</w:t>
            </w:r>
            <w:r>
              <w:rPr>
                <w:rFonts w:hint="eastAsia" w:ascii="仿宋_GB2312" w:hAnsi="仿宋_GB2312" w:eastAsia="仿宋_GB2312" w:cs="仿宋_GB2312"/>
                <w:color w:val="auto"/>
                <w:sz w:val="22"/>
                <w:szCs w:val="22"/>
                <w:highlight w:val="none"/>
                <w:lang w:val="en-US" w:eastAsia="zh-CN"/>
              </w:rPr>
              <w:t xml:space="preserve">及以上工程师职称证书的得1分；同时具有测绘地理信息质量检查培训合格证书和测绘成果管理人员岗位培训合格证书的得2分。本项最高得3分。</w:t>
            </w:r>
            <w:r/>
          </w:p>
          <w:p>
            <w:pPr>
              <w:numPr>
                <w:ilvl w:val="0"/>
                <w:numId w:val="2"/>
              </w:numPr>
              <w:ind w:left="0" w:right="0" w:firstLine="210"/>
              <w:spacing w:before="0" w:after="0" w:line="300" w:lineRule="atLeast"/>
              <w:rPr>
                <w:rFonts w:hint="eastAsia" w:ascii="仿宋_GB2312" w:hAnsi="仿宋_GB2312" w:eastAsia="仿宋_GB2312" w:cs="仿宋_GB2312"/>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lang w:val="en-US" w:eastAsia="zh-CN"/>
              </w:rPr>
              <w:t xml:space="preserve">除上述负责人外拟投入其他技术人员同时具有中级及以上工程师职称证书和不动产测绘员职业资格证书的每有两人得1分，本项最高得6分。</w:t>
            </w:r>
            <w:r/>
          </w:p>
          <w:p>
            <w:pPr>
              <w:ind w:left="0" w:right="0" w:firstLine="0"/>
              <w:spacing w:before="0" w:after="0" w:line="300" w:lineRule="atLeast"/>
              <w:rPr>
                <w:rFonts w:hint="eastAsia" w:ascii="仿宋_GB2312" w:hAnsi="仿宋_GB2312" w:eastAsia="仿宋_GB2312" w:cs="仿宋_GB2312"/>
                <w:color w:val="auto"/>
                <w:sz w:val="22"/>
                <w:szCs w:val="2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2"/>
                <w:szCs w:val="22"/>
                <w:highlight w:val="none"/>
              </w:rPr>
              <w:t xml:space="preserve">（以上人员不可重复计算，并提供上述人员</w:t>
            </w:r>
            <w:r>
              <w:rPr>
                <w:rFonts w:hint="eastAsia" w:ascii="仿宋_GB2312" w:hAnsi="仿宋_GB2312" w:eastAsia="仿宋_GB2312" w:cs="仿宋_GB2312"/>
                <w:color w:val="auto"/>
                <w:sz w:val="22"/>
                <w:szCs w:val="22"/>
                <w:highlight w:val="none"/>
                <w:lang w:val="en-US" w:eastAsia="zh-CN"/>
              </w:rPr>
              <w:t xml:space="preserve">相关证书原件扫描件和工作单位在职证明材料原件扫描件</w:t>
            </w:r>
            <w:r>
              <w:rPr>
                <w:rFonts w:hint="eastAsia" w:ascii="仿宋_GB2312" w:hAnsi="仿宋_GB2312" w:eastAsia="仿宋_GB2312" w:cs="仿宋_GB2312"/>
                <w:color w:val="auto"/>
                <w:sz w:val="22"/>
                <w:szCs w:val="22"/>
                <w:highlight w:val="none"/>
              </w:rPr>
              <w:t xml:space="preserve">加盖公章</w:t>
            </w:r>
            <w:r>
              <w:rPr>
                <w:rFonts w:hint="eastAsia" w:ascii="仿宋_GB2312" w:hAnsi="仿宋_GB2312" w:eastAsia="仿宋_GB2312" w:cs="仿宋_GB2312"/>
                <w:color w:val="auto"/>
                <w:sz w:val="22"/>
                <w:szCs w:val="22"/>
                <w:highlight w:val="none"/>
                <w:lang w:val="en-US" w:eastAsia="zh-CN"/>
              </w:rPr>
              <w:t xml:space="preserve">并加盖电子签章</w:t>
            </w:r>
            <w:r>
              <w:rPr>
                <w:rFonts w:hint="eastAsia" w:ascii="仿宋_GB2312" w:hAnsi="仿宋_GB2312" w:eastAsia="仿宋_GB2312" w:cs="仿宋_GB2312"/>
                <w:color w:val="auto"/>
                <w:sz w:val="22"/>
                <w:szCs w:val="22"/>
                <w:highlight w:val="none"/>
                <w:lang w:eastAsia="zh-CN"/>
              </w:rPr>
              <w:t xml:space="preserve">，</w:t>
            </w:r>
            <w:r>
              <w:rPr>
                <w:rFonts w:hint="eastAsia" w:ascii="仿宋_GB2312" w:hAnsi="仿宋_GB2312" w:eastAsia="仿宋_GB2312" w:cs="仿宋_GB2312"/>
                <w:color w:val="auto"/>
                <w:sz w:val="22"/>
                <w:szCs w:val="22"/>
                <w:highlight w:val="none"/>
              </w:rPr>
              <w:t xml:space="preserve">未提供不得分）</w:t>
            </w:r>
            <w:r/>
          </w:p>
        </w:tc>
      </w:tr>
      <w:tr>
        <w:trPr>
          <w:gridAfter w:val="1"/>
          <w:jc w:val="center"/>
          <w:trHeight w:val="557"/>
        </w:trPr>
        <w:tc>
          <w:tcPr>
            <w:tcW w:w="721" w:type="dxa"/>
            <w:vAlign w:val="center"/>
            <w:vMerge w:val="restart"/>
            <w:textDirection w:val="lrTb"/>
            <w:noWrap w:val="false"/>
          </w:tcPr>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p>
            <w:pPr>
              <w:jc w:val="center"/>
              <w:rPr>
                <w:rFonts w:hint="eastAsia" w:ascii="仿宋_GB2312" w:hAnsi="仿宋_GB2312" w:eastAsia="仿宋_GB2312" w:cs="仿宋_GB2312"/>
                <w:sz w:val="22"/>
                <w:szCs w:val="22"/>
              </w:rPr>
            </w:pPr>
            <w:r>
              <w:rPr>
                <w:rFonts w:hint="eastAsia" w:ascii="仿宋_GB2312" w:hAnsi="仿宋_GB2312" w:eastAsia="仿宋_GB2312" w:cs="仿宋_GB2312"/>
                <w:color w:val="000000"/>
                <w:sz w:val="22"/>
                <w:szCs w:val="22"/>
              </w:rPr>
              <w:t xml:space="preserve">技术</w:t>
            </w:r>
            <w:r>
              <w:rPr>
                <w:rFonts w:hint="eastAsia" w:ascii="仿宋_GB2312" w:hAnsi="仿宋_GB2312" w:eastAsia="仿宋_GB2312" w:cs="仿宋_GB2312"/>
                <w:color w:val="000000"/>
                <w:sz w:val="22"/>
                <w:szCs w:val="22"/>
                <w:lang w:val="en-US" w:eastAsia="zh-CN"/>
              </w:rPr>
              <w:t xml:space="preserve">部分（67分）</w:t>
            </w:r>
            <w:r/>
          </w:p>
        </w:tc>
        <w:tc>
          <w:tcPr>
            <w:tcW w:w="1319" w:type="dxa"/>
            <w:vAlign w:val="center"/>
            <w:textDirection w:val="lrTb"/>
            <w:noWrap w:val="false"/>
          </w:tcPr>
          <w:p>
            <w:pPr>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rPr>
              <w:t xml:space="preserve">项目需求理解及分析</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lang w:val="en-US" w:eastAsia="zh-CN"/>
              </w:rPr>
              <w:t xml:space="preserve">10分）</w:t>
            </w:r>
            <w:r/>
          </w:p>
        </w:tc>
        <w:tc>
          <w:tcPr>
            <w:tcW w:w="6521" w:type="dxa"/>
            <w:vAlign w:val="top"/>
            <w:textDirection w:val="lrTb"/>
            <w:noWrap w:val="false"/>
          </w:tcPr>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根据投标人提供的</w:t>
            </w:r>
            <w:r>
              <w:rPr>
                <w:rFonts w:hint="eastAsia" w:ascii="仿宋_GB2312" w:hAnsi="仿宋_GB2312" w:eastAsia="仿宋_GB2312" w:cs="仿宋_GB2312"/>
                <w:color w:val="auto"/>
                <w:sz w:val="22"/>
                <w:szCs w:val="22"/>
                <w:highlight w:val="none"/>
              </w:rPr>
              <w:t xml:space="preserve">项目需求理解及分析</w:t>
            </w:r>
            <w:r>
              <w:rPr>
                <w:rFonts w:hint="eastAsia" w:ascii="仿宋_GB2312" w:hAnsi="仿宋_GB2312" w:eastAsia="仿宋_GB2312" w:cs="仿宋_GB2312"/>
                <w:color w:val="auto"/>
                <w:sz w:val="22"/>
                <w:szCs w:val="22"/>
                <w:highlight w:val="none"/>
                <w:lang w:val="en-US" w:eastAsia="zh-CN" w:bidi="ar-SA"/>
              </w:rPr>
              <w:t xml:space="preserve">方案</w:t>
            </w:r>
            <w:r>
              <w:rPr>
                <w:rFonts w:hint="eastAsia" w:ascii="仿宋_GB2312" w:hAnsi="仿宋_GB2312" w:eastAsia="仿宋_GB2312" w:cs="仿宋_GB2312"/>
                <w:color w:val="auto"/>
                <w:sz w:val="22"/>
                <w:szCs w:val="22"/>
                <w:highlight w:val="none"/>
                <w:lang w:val="en-US" w:eastAsia="zh-CN"/>
              </w:rPr>
              <w:t xml:space="preserve">（方案具体、思路清晰，分析情况）进行打分。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(1)以上内容不存在瑕疵10分;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(2)以上内容存在1处瑕疵:8分;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(3)以上内容存在2处瑕疵:6分;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(4)以上内容存在3处瑕疵:4分;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(5)以上内容存在4处瑕疵:2分;</w:t>
            </w:r>
            <w:r/>
          </w:p>
          <w:p>
            <w:pPr>
              <w:jc w:val="both"/>
              <w:widowControl w:val="off"/>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(6)未提供方案或不满足要求或内容存在5处及以上瑕疵:0 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color w:val="auto"/>
                <w:sz w:val="22"/>
                <w:szCs w:val="22"/>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gridAfter w:val="1"/>
          <w:jc w:val="center"/>
          <w:trHeight w:val="1629"/>
        </w:trPr>
        <w:tc>
          <w:tcPr>
            <w:tcW w:w="721"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技术方案</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15</w:t>
            </w:r>
            <w:r>
              <w:rPr>
                <w:rFonts w:hint="eastAsia" w:ascii="仿宋_GB2312" w:hAnsi="仿宋_GB2312" w:eastAsia="仿宋_GB2312" w:cs="仿宋_GB2312"/>
                <w:color w:val="000000"/>
                <w:sz w:val="22"/>
                <w:szCs w:val="22"/>
              </w:rPr>
              <w:t xml:space="preserve">分）</w:t>
            </w:r>
            <w:r/>
          </w:p>
        </w:tc>
        <w:tc>
          <w:tcPr>
            <w:tcW w:w="6521" w:type="dxa"/>
            <w:vAlign w:val="top"/>
            <w:textDirection w:val="lrTb"/>
            <w:noWrap w:val="false"/>
          </w:tcPr>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color w:val="auto"/>
                <w:sz w:val="22"/>
                <w:szCs w:val="22"/>
                <w:highlight w:val="none"/>
                <w:lang w:val="en-US" w:eastAsia="zh-CN" w:bidi="ar-SA"/>
              </w:rPr>
              <w:t xml:space="preserve">根据投标人提供的项目技术方案</w:t>
            </w:r>
            <w:r>
              <w:rPr>
                <w:rFonts w:hint="eastAsia" w:ascii="仿宋_GB2312" w:hAnsi="仿宋_GB2312" w:eastAsia="仿宋_GB2312" w:cs="仿宋_GB2312"/>
                <w:sz w:val="22"/>
                <w:szCs w:val="22"/>
                <w:lang w:val="en-US" w:eastAsia="zh-CN" w:bidi="ar-SA"/>
              </w:rPr>
              <w:t xml:space="preserve">（方案具体、思路清晰，有架构图且详细，具有系统设计功能）进行打分。</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(1)以上内容不存在瑕疵15分;</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(2)以上内容存在1处瑕疵:12分;</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(3)以上内容存在2处瑕疵:9分;</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(4)以上内容存在3处瑕疵:6分;</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(5)以上内容存在4处瑕疵:3分;</w:t>
            </w:r>
            <w:r/>
          </w:p>
          <w:p>
            <w:pP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1</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w:t>
            </w:r>
            <w:r/>
          </w:p>
          <w:p>
            <w:pPr>
              <w:jc w:val="both"/>
              <w:widowControl w:val="off"/>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(7)未提供方案或不满足要求或内容存在6处及以上瑕疵:0 分。</w:t>
            </w:r>
            <w:r/>
          </w:p>
          <w:p>
            <w:pPr>
              <w:jc w:val="left"/>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项目管理</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10</w:t>
            </w:r>
            <w:r>
              <w:rPr>
                <w:rFonts w:hint="eastAsia" w:ascii="仿宋_GB2312" w:hAnsi="仿宋_GB2312" w:eastAsia="仿宋_GB2312" w:cs="仿宋_GB2312"/>
                <w:color w:val="000000"/>
                <w:sz w:val="22"/>
                <w:szCs w:val="22"/>
              </w:rPr>
              <w:t xml:space="preserve">分）</w:t>
            </w:r>
            <w:r/>
          </w:p>
        </w:tc>
        <w:tc>
          <w:tcPr>
            <w:tcW w:w="6521" w:type="dxa"/>
            <w:vAlign w:val="top"/>
            <w:textDirection w:val="lrTb"/>
            <w:noWrap w:val="false"/>
          </w:tcPr>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lang w:val="en-US" w:eastAsia="zh-CN"/>
              </w:rPr>
              <w:t xml:space="preserve">根据供应商提供的</w:t>
            </w:r>
            <w:r>
              <w:rPr>
                <w:rFonts w:hint="eastAsia" w:ascii="仿宋_GB2312" w:hAnsi="仿宋_GB2312" w:eastAsia="仿宋_GB2312" w:cs="仿宋_GB2312"/>
                <w:sz w:val="22"/>
                <w:szCs w:val="22"/>
              </w:rPr>
              <w:t xml:space="preserve">项目管理</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highlight w:val="none"/>
              </w:rPr>
              <w:t xml:space="preserve">机构及制度方案有明确的部门职责，工作流程完整、科学、可行，各类规章制度健全规范</w:t>
            </w:r>
            <w:r>
              <w:rPr>
                <w:rFonts w:hint="eastAsia" w:ascii="仿宋_GB2312" w:hAnsi="仿宋_GB2312" w:eastAsia="仿宋_GB2312" w:cs="仿宋_GB2312"/>
                <w:sz w:val="22"/>
                <w:szCs w:val="22"/>
                <w:highlight w:val="none"/>
                <w:lang w:val="en-US" w:eastAsia="zh-CN"/>
              </w:rPr>
              <w:t xml:space="preserve">）进行评价打分</w:t>
            </w:r>
            <w:r>
              <w:rPr>
                <w:rFonts w:hint="eastAsia" w:ascii="仿宋_GB2312" w:hAnsi="仿宋_GB2312" w:eastAsia="仿宋_GB2312" w:cs="仿宋_GB2312"/>
                <w:sz w:val="22"/>
                <w:szCs w:val="22"/>
                <w:highlight w:val="none"/>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(1)以上内容不存在瑕疵:</w:t>
            </w:r>
            <w:r>
              <w:rPr>
                <w:rFonts w:hint="eastAsia" w:ascii="仿宋_GB2312" w:hAnsi="仿宋_GB2312" w:eastAsia="仿宋_GB2312" w:cs="仿宋_GB2312"/>
                <w:sz w:val="22"/>
                <w:szCs w:val="22"/>
                <w:highlight w:val="none"/>
                <w:lang w:val="en-US" w:eastAsia="zh-CN"/>
              </w:rPr>
              <w:t xml:space="preserve">10</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(2)以上内容存在1处瑕疵:</w:t>
            </w:r>
            <w:r>
              <w:rPr>
                <w:rFonts w:hint="eastAsia" w:ascii="仿宋_GB2312" w:hAnsi="仿宋_GB2312" w:eastAsia="仿宋_GB2312" w:cs="仿宋_GB2312"/>
                <w:sz w:val="22"/>
                <w:szCs w:val="22"/>
                <w:highlight w:val="none"/>
                <w:lang w:val="en-US" w:eastAsia="zh-CN"/>
              </w:rPr>
              <w:t xml:space="preserve">8</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(3)以上内容存在2处瑕疵:</w:t>
            </w: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w:t>
            </w: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)未提供方案或不满足</w:t>
            </w:r>
            <w:r>
              <w:rPr>
                <w:rFonts w:hint="eastAsia" w:ascii="仿宋_GB2312" w:hAnsi="仿宋_GB2312" w:eastAsia="仿宋_GB2312" w:cs="仿宋_GB2312"/>
                <w:color w:val="auto"/>
                <w:sz w:val="22"/>
                <w:szCs w:val="22"/>
                <w:highlight w:val="none"/>
              </w:rPr>
              <w:t xml:space="preserve">要求或</w:t>
            </w:r>
            <w:r>
              <w:rPr>
                <w:rFonts w:hint="eastAsia" w:ascii="仿宋_GB2312" w:hAnsi="仿宋_GB2312" w:eastAsia="仿宋_GB2312" w:cs="仿宋_GB2312"/>
                <w:sz w:val="22"/>
                <w:szCs w:val="22"/>
                <w:highlight w:val="none"/>
              </w:rPr>
              <w:t xml:space="preserve">内容存在</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处及以上瑕疵:0 分。</w:t>
            </w:r>
            <w:r/>
          </w:p>
          <w:p>
            <w:pPr>
              <w:rPr>
                <w:rFonts w:hint="eastAsia" w:ascii="仿宋_GB2312" w:hAnsi="仿宋_GB2312" w:eastAsia="仿宋_GB2312" w:cs="仿宋_GB2312"/>
                <w:sz w:val="22"/>
                <w:szCs w:val="22"/>
                <w:highlight w:val="none"/>
                <w:lang w:val="en-US" w:eastAsia="zh-CN" w:bidi="ar-SA"/>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质量保证措施</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10</w:t>
            </w:r>
            <w:r>
              <w:rPr>
                <w:rFonts w:hint="eastAsia" w:ascii="仿宋_GB2312" w:hAnsi="仿宋_GB2312" w:eastAsia="仿宋_GB2312" w:cs="仿宋_GB2312"/>
                <w:color w:val="000000"/>
                <w:sz w:val="22"/>
                <w:szCs w:val="22"/>
              </w:rPr>
              <w:t xml:space="preserve">分）</w:t>
            </w:r>
            <w:r/>
          </w:p>
        </w:tc>
        <w:tc>
          <w:tcPr>
            <w:tcW w:w="6521" w:type="dxa"/>
            <w:vAlign w:val="center"/>
            <w:textDirection w:val="lrTb"/>
            <w:noWrap w:val="false"/>
          </w:tcPr>
          <w:p>
            <w:pPr>
              <w:jc w:val="lef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根据供应商提供的</w:t>
            </w:r>
            <w:r>
              <w:rPr>
                <w:rFonts w:hint="eastAsia" w:ascii="仿宋_GB2312" w:hAnsi="仿宋_GB2312" w:eastAsia="仿宋_GB2312" w:cs="仿宋_GB2312"/>
                <w:sz w:val="22"/>
                <w:szCs w:val="22"/>
              </w:rPr>
              <w:t xml:space="preserve">服务质量保障措施</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rPr>
              <w:t xml:space="preserve">科学、可行、具体的进度控制措施</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lang w:val="en-US" w:eastAsia="zh-CN"/>
              </w:rPr>
              <w:t xml:space="preserve">进行评价打分。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(1)以上内容不存在瑕疵:</w:t>
            </w:r>
            <w:r>
              <w:rPr>
                <w:rFonts w:hint="eastAsia" w:ascii="仿宋_GB2312" w:hAnsi="仿宋_GB2312" w:eastAsia="仿宋_GB2312" w:cs="仿宋_GB2312"/>
                <w:sz w:val="22"/>
                <w:szCs w:val="22"/>
                <w:highlight w:val="none"/>
                <w:lang w:val="en-US" w:eastAsia="zh-CN"/>
              </w:rPr>
              <w:t xml:space="preserve">10</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(2)以上内容存在1处瑕疵:</w:t>
            </w:r>
            <w:r>
              <w:rPr>
                <w:rFonts w:hint="eastAsia" w:ascii="仿宋_GB2312" w:hAnsi="仿宋_GB2312" w:eastAsia="仿宋_GB2312" w:cs="仿宋_GB2312"/>
                <w:sz w:val="22"/>
                <w:szCs w:val="22"/>
                <w:highlight w:val="none"/>
                <w:lang w:val="en-US" w:eastAsia="zh-CN"/>
              </w:rPr>
              <w:t xml:space="preserve">8</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(3)以上内容存在2处瑕疵:</w:t>
            </w: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eastAsia="zh-CN"/>
              </w:rPr>
            </w:pP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w:t>
            </w: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)未提供方案或</w:t>
            </w:r>
            <w:r>
              <w:rPr>
                <w:rFonts w:hint="eastAsia" w:ascii="仿宋_GB2312" w:hAnsi="仿宋_GB2312" w:eastAsia="仿宋_GB2312" w:cs="仿宋_GB2312"/>
                <w:color w:val="auto"/>
                <w:sz w:val="22"/>
                <w:szCs w:val="22"/>
                <w:highlight w:val="none"/>
              </w:rPr>
              <w:t xml:space="preserve">不满足要求</w:t>
            </w:r>
            <w:r>
              <w:rPr>
                <w:rFonts w:hint="eastAsia" w:ascii="仿宋_GB2312" w:hAnsi="仿宋_GB2312" w:eastAsia="仿宋_GB2312" w:cs="仿宋_GB2312"/>
                <w:sz w:val="22"/>
                <w:szCs w:val="22"/>
                <w:highlight w:val="none"/>
              </w:rPr>
              <w:t xml:space="preserve">或内容存在</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处及以上瑕疵:0 分。</w:t>
            </w:r>
            <w:r/>
          </w:p>
          <w:p>
            <w:pPr>
              <w:jc w:val="left"/>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项目进度控制措施</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8</w:t>
            </w:r>
            <w:r>
              <w:rPr>
                <w:rFonts w:hint="eastAsia" w:ascii="仿宋_GB2312" w:hAnsi="仿宋_GB2312" w:eastAsia="仿宋_GB2312" w:cs="仿宋_GB2312"/>
                <w:color w:val="000000"/>
                <w:sz w:val="22"/>
                <w:szCs w:val="22"/>
              </w:rPr>
              <w:t xml:space="preserve">分）</w:t>
            </w:r>
            <w:r/>
          </w:p>
        </w:tc>
        <w:tc>
          <w:tcPr>
            <w:tcW w:w="6521" w:type="dxa"/>
            <w:vAlign w:val="center"/>
            <w:textDirection w:val="lrTb"/>
            <w:noWrap w:val="false"/>
          </w:tcPr>
          <w:p>
            <w:pPr>
              <w:jc w:val="lef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根据供应商提供的</w:t>
            </w:r>
            <w:r>
              <w:rPr>
                <w:rFonts w:hint="eastAsia" w:ascii="仿宋_GB2312" w:hAnsi="仿宋_GB2312" w:eastAsia="仿宋_GB2312" w:cs="仿宋_GB2312"/>
                <w:sz w:val="22"/>
                <w:szCs w:val="22"/>
              </w:rPr>
              <w:t xml:space="preserve">项目进度控制措施</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rPr>
              <w:t xml:space="preserve">科学、可行、具体的进度控制措施</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lang w:val="en-US" w:eastAsia="zh-CN"/>
              </w:rPr>
              <w:t xml:space="preserve">进行评价打分。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(1)以上内容不存在瑕疵:</w:t>
            </w:r>
            <w:r>
              <w:rPr>
                <w:rFonts w:hint="eastAsia" w:ascii="仿宋_GB2312" w:hAnsi="仿宋_GB2312" w:eastAsia="仿宋_GB2312" w:cs="仿宋_GB2312"/>
                <w:sz w:val="22"/>
                <w:szCs w:val="22"/>
                <w:highlight w:val="none"/>
                <w:lang w:val="en-US" w:eastAsia="zh-CN"/>
              </w:rPr>
              <w:t xml:space="preserve">8</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(2)以上内容存在1处瑕疵:</w:t>
            </w:r>
            <w:r>
              <w:rPr>
                <w:rFonts w:hint="eastAsia" w:ascii="仿宋_GB2312" w:hAnsi="仿宋_GB2312" w:eastAsia="仿宋_GB2312" w:cs="仿宋_GB2312"/>
                <w:sz w:val="22"/>
                <w:szCs w:val="22"/>
                <w:highlight w:val="none"/>
                <w:lang w:val="en-US" w:eastAsia="zh-CN"/>
              </w:rPr>
              <w:t xml:space="preserve">6</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(3)以上内容存在2处瑕疵:</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2</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)未提供方案或</w:t>
            </w:r>
            <w:r>
              <w:rPr>
                <w:rFonts w:hint="eastAsia" w:ascii="仿宋_GB2312" w:hAnsi="仿宋_GB2312" w:eastAsia="仿宋_GB2312" w:cs="仿宋_GB2312"/>
                <w:color w:val="auto"/>
                <w:sz w:val="22"/>
                <w:szCs w:val="22"/>
                <w:highlight w:val="none"/>
              </w:rPr>
              <w:t xml:space="preserve">不满足要求</w:t>
            </w:r>
            <w:r>
              <w:rPr>
                <w:rFonts w:hint="eastAsia" w:ascii="仿宋_GB2312" w:hAnsi="仿宋_GB2312" w:eastAsia="仿宋_GB2312" w:cs="仿宋_GB2312"/>
                <w:sz w:val="22"/>
                <w:szCs w:val="22"/>
                <w:highlight w:val="none"/>
              </w:rPr>
              <w:t xml:space="preserve">或内容存在</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处及以上瑕疵:0 分。</w:t>
            </w:r>
            <w:r/>
          </w:p>
          <w:p>
            <w:pPr>
              <w:jc w:val="left"/>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重难点分析</w:t>
            </w:r>
            <w:r>
              <w:rPr>
                <w:rFonts w:hint="eastAsia" w:ascii="仿宋_GB2312" w:hAnsi="仿宋_GB2312" w:eastAsia="仿宋_GB2312" w:cs="仿宋_GB2312"/>
                <w:sz w:val="22"/>
                <w:szCs w:val="22"/>
                <w:lang w:val="en-US" w:eastAsia="zh-CN"/>
              </w:rPr>
              <w:t xml:space="preserve">及合理化建议</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7</w:t>
            </w:r>
            <w:r>
              <w:rPr>
                <w:rFonts w:hint="eastAsia" w:ascii="仿宋_GB2312" w:hAnsi="仿宋_GB2312" w:eastAsia="仿宋_GB2312" w:cs="仿宋_GB2312"/>
                <w:color w:val="000000"/>
                <w:sz w:val="22"/>
                <w:szCs w:val="22"/>
              </w:rPr>
              <w:t xml:space="preserve">分）</w:t>
            </w:r>
            <w:r/>
          </w:p>
        </w:tc>
        <w:tc>
          <w:tcPr>
            <w:tcW w:w="6521" w:type="dxa"/>
            <w:vAlign w:val="top"/>
            <w:textDirection w:val="lrTb"/>
            <w:noWrap w:val="false"/>
          </w:tcPr>
          <w:p>
            <w:pPr>
              <w:jc w:val="lef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根据供应商提供的</w:t>
            </w:r>
            <w:r>
              <w:rPr>
                <w:rFonts w:hint="eastAsia" w:ascii="仿宋_GB2312" w:hAnsi="仿宋_GB2312" w:eastAsia="仿宋_GB2312" w:cs="仿宋_GB2312"/>
                <w:sz w:val="22"/>
                <w:szCs w:val="22"/>
              </w:rPr>
              <w:t xml:space="preserve">本项目的重点、难点分析</w:t>
            </w:r>
            <w:r>
              <w:rPr>
                <w:rFonts w:hint="eastAsia" w:ascii="仿宋_GB2312" w:hAnsi="仿宋_GB2312" w:eastAsia="仿宋_GB2312" w:cs="仿宋_GB2312"/>
                <w:sz w:val="22"/>
                <w:szCs w:val="22"/>
                <w:lang w:val="en-US" w:eastAsia="zh-CN"/>
              </w:rPr>
              <w:t xml:space="preserve">及合理化建议（</w:t>
            </w:r>
            <w:r>
              <w:rPr>
                <w:rFonts w:hint="eastAsia" w:ascii="仿宋_GB2312" w:hAnsi="仿宋_GB2312" w:eastAsia="仿宋_GB2312" w:cs="仿宋_GB2312"/>
                <w:sz w:val="22"/>
                <w:szCs w:val="22"/>
              </w:rPr>
              <w:t xml:space="preserve">多角度系统分析，在服务于本项目的重点、难点等方面，有不同于其他投标人的新颖思路，且能提出合理建议</w:t>
            </w:r>
            <w:r>
              <w:rPr>
                <w:rFonts w:hint="eastAsia" w:ascii="仿宋_GB2312" w:hAnsi="仿宋_GB2312" w:eastAsia="仿宋_GB2312" w:cs="仿宋_GB2312"/>
                <w:sz w:val="22"/>
                <w:szCs w:val="22"/>
                <w:lang w:eastAsia="zh-CN"/>
              </w:rPr>
              <w:t xml:space="preserve">）</w:t>
            </w:r>
            <w:r>
              <w:rPr>
                <w:rFonts w:hint="eastAsia" w:ascii="仿宋_GB2312" w:hAnsi="仿宋_GB2312" w:eastAsia="仿宋_GB2312" w:cs="仿宋_GB2312"/>
                <w:sz w:val="22"/>
                <w:szCs w:val="22"/>
                <w:lang w:val="en-US" w:eastAsia="zh-CN"/>
              </w:rPr>
              <w:t xml:space="preserve">进行评价打分。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(1)以上内容不存在瑕疵:</w:t>
            </w:r>
            <w:r>
              <w:rPr>
                <w:rFonts w:hint="eastAsia" w:ascii="仿宋_GB2312" w:hAnsi="仿宋_GB2312" w:eastAsia="仿宋_GB2312" w:cs="仿宋_GB2312"/>
                <w:sz w:val="22"/>
                <w:szCs w:val="22"/>
                <w:highlight w:val="none"/>
                <w:lang w:val="en-US" w:eastAsia="zh-CN"/>
              </w:rPr>
              <w:t xml:space="preserve">7</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(2)以上内容存在1处瑕疵:</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(3)以上内容存在2处瑕疵:</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1</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)未提供方案或不满足</w:t>
            </w:r>
            <w:r>
              <w:rPr>
                <w:rFonts w:hint="eastAsia" w:ascii="仿宋_GB2312" w:hAnsi="仿宋_GB2312" w:eastAsia="仿宋_GB2312" w:cs="仿宋_GB2312"/>
                <w:color w:val="auto"/>
                <w:sz w:val="22"/>
                <w:szCs w:val="22"/>
                <w:highlight w:val="none"/>
              </w:rPr>
              <w:t xml:space="preserve">要求</w:t>
            </w:r>
            <w:r>
              <w:rPr>
                <w:rFonts w:hint="eastAsia" w:ascii="仿宋_GB2312" w:hAnsi="仿宋_GB2312" w:eastAsia="仿宋_GB2312" w:cs="仿宋_GB2312"/>
                <w:sz w:val="22"/>
                <w:szCs w:val="22"/>
                <w:highlight w:val="none"/>
              </w:rPr>
              <w:t xml:space="preserve">或内容存在</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处及以上瑕疵:0 分。</w:t>
            </w:r>
            <w:r/>
          </w:p>
          <w:p>
            <w:pPr>
              <w:pStyle w:val="724"/>
              <w:ind w:left="0" w:right="6" w:firstLine="0"/>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r>
        <w:trPr>
          <w:gridAfter w:val="1"/>
          <w:jc w:val="center"/>
        </w:trPr>
        <w:tc>
          <w:tcPr>
            <w:tcW w:w="721" w:type="dxa"/>
            <w:vAlign w:val="center"/>
            <w:vMerge w:val="continue"/>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W w:w="1319" w:type="dxa"/>
            <w:vAlign w:val="center"/>
            <w:textDirection w:val="lrTb"/>
            <w:noWrap w:val="false"/>
          </w:tcPr>
          <w:p>
            <w:pPr>
              <w:jc w:val="center"/>
              <w:rPr>
                <w:rFonts w:hint="eastAsia" w:ascii="仿宋_GB2312" w:hAnsi="仿宋_GB2312" w:eastAsia="仿宋_GB2312" w:cs="仿宋_GB2312"/>
                <w:sz w:val="22"/>
                <w:szCs w:val="22"/>
              </w:rPr>
            </w:pPr>
            <w:r>
              <w:rPr>
                <w:rFonts w:hint="eastAsia" w:ascii="仿宋_GB2312" w:hAnsi="仿宋_GB2312" w:eastAsia="仿宋_GB2312" w:cs="仿宋_GB2312"/>
                <w:bCs/>
                <w:color w:val="auto"/>
                <w:sz w:val="22"/>
                <w:szCs w:val="22"/>
                <w:highlight w:val="none"/>
                <w:lang w:eastAsia="zh-CN"/>
              </w:rPr>
              <w:t xml:space="preserve">售后服务</w:t>
            </w:r>
            <w:r>
              <w:rPr>
                <w:rFonts w:hint="eastAsia" w:ascii="仿宋_GB2312" w:hAnsi="仿宋_GB2312" w:eastAsia="仿宋_GB2312" w:cs="仿宋_GB2312"/>
                <w:color w:val="000000"/>
                <w:sz w:val="22"/>
                <w:szCs w:val="22"/>
              </w:rPr>
              <w:t xml:space="preserve">（</w:t>
            </w:r>
            <w:r>
              <w:rPr>
                <w:rFonts w:hint="eastAsia" w:ascii="仿宋_GB2312" w:hAnsi="仿宋_GB2312" w:eastAsia="仿宋_GB2312" w:cs="仿宋_GB2312"/>
                <w:color w:val="000000"/>
                <w:sz w:val="22"/>
                <w:szCs w:val="22"/>
                <w:lang w:val="en-US" w:eastAsia="zh-CN"/>
              </w:rPr>
              <w:t xml:space="preserve">7</w:t>
            </w:r>
            <w:r>
              <w:rPr>
                <w:rFonts w:hint="eastAsia" w:ascii="仿宋_GB2312" w:hAnsi="仿宋_GB2312" w:eastAsia="仿宋_GB2312" w:cs="仿宋_GB2312"/>
                <w:color w:val="000000"/>
                <w:sz w:val="22"/>
                <w:szCs w:val="22"/>
              </w:rPr>
              <w:t xml:space="preserve">分）</w:t>
            </w:r>
            <w:r/>
          </w:p>
        </w:tc>
        <w:tc>
          <w:tcPr>
            <w:tcW w:w="6521" w:type="dxa"/>
            <w:vAlign w:val="top"/>
            <w:textDirection w:val="lrTb"/>
            <w:noWrap w:val="false"/>
          </w:tcPr>
          <w:p>
            <w:pPr>
              <w:jc w:val="lef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bCs/>
                <w:color w:val="auto"/>
                <w:sz w:val="22"/>
                <w:szCs w:val="22"/>
                <w:lang w:val="en-US" w:eastAsia="zh-CN"/>
              </w:rPr>
              <w:t xml:space="preserve">根据供应商提供的</w:t>
            </w:r>
            <w:r>
              <w:rPr>
                <w:rFonts w:hint="eastAsia" w:ascii="仿宋_GB2312" w:hAnsi="仿宋_GB2312" w:eastAsia="仿宋_GB2312" w:cs="仿宋_GB2312"/>
                <w:bCs/>
                <w:color w:val="auto"/>
                <w:sz w:val="22"/>
                <w:szCs w:val="22"/>
                <w:highlight w:val="none"/>
                <w:lang w:eastAsia="zh-CN"/>
              </w:rPr>
              <w:t xml:space="preserve">售后服务</w:t>
            </w:r>
            <w:r>
              <w:rPr>
                <w:rFonts w:hint="eastAsia" w:ascii="仿宋_GB2312" w:hAnsi="仿宋_GB2312" w:eastAsia="仿宋_GB2312" w:cs="仿宋_GB2312"/>
                <w:bCs/>
                <w:color w:val="auto"/>
                <w:sz w:val="22"/>
                <w:szCs w:val="22"/>
                <w:lang w:eastAsia="zh-CN"/>
              </w:rPr>
              <w:t xml:space="preserve">（</w:t>
            </w:r>
            <w:r>
              <w:rPr>
                <w:rFonts w:hint="eastAsia" w:ascii="仿宋_GB2312" w:hAnsi="仿宋_GB2312" w:eastAsia="仿宋_GB2312" w:cs="仿宋_GB2312"/>
                <w:bCs/>
                <w:color w:val="auto"/>
                <w:sz w:val="22"/>
                <w:szCs w:val="22"/>
              </w:rPr>
              <w:t xml:space="preserve">科学、全面、可行的</w:t>
            </w:r>
            <w:r>
              <w:rPr>
                <w:rFonts w:hint="eastAsia" w:ascii="仿宋_GB2312" w:hAnsi="仿宋_GB2312" w:eastAsia="仿宋_GB2312" w:cs="仿宋_GB2312"/>
                <w:bCs/>
                <w:color w:val="auto"/>
                <w:sz w:val="22"/>
                <w:szCs w:val="22"/>
                <w:lang w:eastAsia="zh-CN"/>
              </w:rPr>
              <w:t xml:space="preserve">）</w:t>
            </w:r>
            <w:r>
              <w:rPr>
                <w:rFonts w:hint="eastAsia" w:ascii="仿宋_GB2312" w:hAnsi="仿宋_GB2312" w:eastAsia="仿宋_GB2312" w:cs="仿宋_GB2312"/>
                <w:sz w:val="22"/>
                <w:szCs w:val="22"/>
                <w:lang w:val="en-US" w:eastAsia="zh-CN"/>
              </w:rPr>
              <w:t xml:space="preserve">进行评价打分。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(1)以上内容不存在瑕疵:</w:t>
            </w:r>
            <w:r>
              <w:rPr>
                <w:rFonts w:hint="eastAsia" w:ascii="仿宋_GB2312" w:hAnsi="仿宋_GB2312" w:eastAsia="仿宋_GB2312" w:cs="仿宋_GB2312"/>
                <w:sz w:val="22"/>
                <w:szCs w:val="22"/>
                <w:highlight w:val="none"/>
                <w:lang w:val="en-US" w:eastAsia="zh-CN"/>
              </w:rPr>
              <w:t xml:space="preserve">7</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(2)以上内容存在1处瑕疵:</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分;</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rPr>
              <w:t xml:space="preserve">(3)以上内容存在2处瑕疵:</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lang w:val="en-US" w:eastAsia="zh-CN"/>
              </w:rPr>
            </w:pP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以上内容存在</w:t>
            </w:r>
            <w:r>
              <w:rPr>
                <w:rFonts w:hint="eastAsia" w:ascii="仿宋_GB2312" w:hAnsi="仿宋_GB2312" w:eastAsia="仿宋_GB2312" w:cs="仿宋_GB2312"/>
                <w:sz w:val="22"/>
                <w:szCs w:val="22"/>
                <w:highlight w:val="none"/>
                <w:lang w:val="en-US" w:eastAsia="zh-CN"/>
              </w:rPr>
              <w:t xml:space="preserve">3</w:t>
            </w:r>
            <w:r>
              <w:rPr>
                <w:rFonts w:hint="eastAsia" w:ascii="仿宋_GB2312" w:hAnsi="仿宋_GB2312" w:eastAsia="仿宋_GB2312" w:cs="仿宋_GB2312"/>
                <w:sz w:val="22"/>
                <w:szCs w:val="22"/>
                <w:highlight w:val="none"/>
              </w:rPr>
              <w:t xml:space="preserve">处瑕疵:</w:t>
            </w:r>
            <w:r>
              <w:rPr>
                <w:rFonts w:hint="eastAsia" w:ascii="仿宋_GB2312" w:hAnsi="仿宋_GB2312" w:eastAsia="仿宋_GB2312" w:cs="仿宋_GB2312"/>
                <w:sz w:val="22"/>
                <w:szCs w:val="22"/>
                <w:highlight w:val="none"/>
                <w:lang w:val="en-US" w:eastAsia="zh-CN"/>
              </w:rPr>
              <w:t xml:space="preserve">1</w:t>
            </w:r>
            <w:r>
              <w:rPr>
                <w:rFonts w:hint="eastAsia" w:ascii="仿宋_GB2312" w:hAnsi="仿宋_GB2312" w:eastAsia="仿宋_GB2312" w:cs="仿宋_GB2312"/>
                <w:sz w:val="22"/>
                <w:szCs w:val="22"/>
                <w:highlight w:val="none"/>
              </w:rPr>
              <w:t xml:space="preserve">分</w:t>
            </w:r>
            <w:r>
              <w:rPr>
                <w:rFonts w:hint="eastAsia" w:ascii="仿宋_GB2312" w:hAnsi="仿宋_GB2312" w:eastAsia="仿宋_GB2312" w:cs="仿宋_GB2312"/>
                <w:sz w:val="22"/>
                <w:szCs w:val="22"/>
                <w:highlight w:val="none"/>
                <w:lang w:val="en-US" w:eastAsia="zh-CN"/>
              </w:rPr>
              <w:t xml:space="preserve">;</w:t>
            </w:r>
            <w:r/>
          </w:p>
          <w:p>
            <w:pPr>
              <w:rPr>
                <w:rFonts w:hint="eastAsia" w:ascii="仿宋_GB2312" w:hAnsi="仿宋_GB2312" w:eastAsia="仿宋_GB2312" w:cs="仿宋_GB2312"/>
                <w:sz w:val="22"/>
                <w:szCs w:val="22"/>
                <w:highlight w:val="none"/>
              </w:rPr>
            </w:pPr>
            <w:r>
              <w:rPr>
                <w:rFonts w:hint="eastAsia" w:ascii="仿宋_GB2312" w:hAnsi="仿宋_GB2312" w:eastAsia="仿宋_GB2312" w:cs="仿宋_GB2312"/>
                <w:sz w:val="22"/>
                <w:szCs w:val="22"/>
                <w:highlight w:val="none"/>
              </w:rPr>
              <w:t xml:space="preserve">(</w:t>
            </w:r>
            <w:r>
              <w:rPr>
                <w:rFonts w:hint="eastAsia" w:ascii="仿宋_GB2312" w:hAnsi="仿宋_GB2312" w:eastAsia="仿宋_GB2312" w:cs="仿宋_GB2312"/>
                <w:sz w:val="22"/>
                <w:szCs w:val="22"/>
                <w:highlight w:val="none"/>
                <w:lang w:val="en-US" w:eastAsia="zh-CN"/>
              </w:rPr>
              <w:t xml:space="preserve">5</w:t>
            </w:r>
            <w:r>
              <w:rPr>
                <w:rFonts w:hint="eastAsia" w:ascii="仿宋_GB2312" w:hAnsi="仿宋_GB2312" w:eastAsia="仿宋_GB2312" w:cs="仿宋_GB2312"/>
                <w:sz w:val="22"/>
                <w:szCs w:val="22"/>
                <w:highlight w:val="none"/>
              </w:rPr>
              <w:t xml:space="preserve">)未提供方案或不满足</w:t>
            </w:r>
            <w:r>
              <w:rPr>
                <w:rFonts w:hint="eastAsia" w:ascii="仿宋_GB2312" w:hAnsi="仿宋_GB2312" w:eastAsia="仿宋_GB2312" w:cs="仿宋_GB2312"/>
                <w:color w:val="auto"/>
                <w:sz w:val="22"/>
                <w:szCs w:val="22"/>
                <w:highlight w:val="none"/>
              </w:rPr>
              <w:t xml:space="preserve">要求</w:t>
            </w:r>
            <w:r>
              <w:rPr>
                <w:rFonts w:hint="eastAsia" w:ascii="仿宋_GB2312" w:hAnsi="仿宋_GB2312" w:eastAsia="仿宋_GB2312" w:cs="仿宋_GB2312"/>
                <w:sz w:val="22"/>
                <w:szCs w:val="22"/>
                <w:highlight w:val="none"/>
              </w:rPr>
              <w:t xml:space="preserve">或内容存在</w:t>
            </w:r>
            <w:r>
              <w:rPr>
                <w:rFonts w:hint="eastAsia" w:ascii="仿宋_GB2312" w:hAnsi="仿宋_GB2312" w:eastAsia="仿宋_GB2312" w:cs="仿宋_GB2312"/>
                <w:sz w:val="22"/>
                <w:szCs w:val="22"/>
                <w:highlight w:val="none"/>
                <w:lang w:val="en-US" w:eastAsia="zh-CN"/>
              </w:rPr>
              <w:t xml:space="preserve">4</w:t>
            </w:r>
            <w:r>
              <w:rPr>
                <w:rFonts w:hint="eastAsia" w:ascii="仿宋_GB2312" w:hAnsi="仿宋_GB2312" w:eastAsia="仿宋_GB2312" w:cs="仿宋_GB2312"/>
                <w:sz w:val="22"/>
                <w:szCs w:val="22"/>
                <w:highlight w:val="none"/>
              </w:rPr>
              <w:t xml:space="preserve">处及以上瑕疵:0 分。</w:t>
            </w:r>
            <w:r/>
          </w:p>
          <w:p>
            <w:pPr>
              <w:pStyle w:val="1033"/>
              <w:jc w:val="both"/>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bidi="ar-SA"/>
              </w:rPr>
              <w:t xml:space="preserve">(本项所称“瑕疵”是指内容缺项、不完整或缺少关键点;非专门针对本项目或不适用本项目特性、套用其他项目内容;对同一问题前后表述矛盾;存在逻辑</w:t>
            </w:r>
            <w:r>
              <w:rPr>
                <w:rFonts w:hint="eastAsia" w:ascii="仿宋_GB2312" w:hAnsi="仿宋_GB2312" w:eastAsia="仿宋_GB2312" w:cs="仿宋_GB2312"/>
                <w:color w:val="auto"/>
                <w:sz w:val="22"/>
                <w:szCs w:val="22"/>
                <w:highlight w:val="none"/>
                <w:lang w:val="en-US" w:eastAsia="zh-CN" w:bidi="ar-SA"/>
              </w:rPr>
              <w:t xml:space="preserve">漏洞</w:t>
            </w:r>
            <w:r>
              <w:rPr>
                <w:rFonts w:hint="eastAsia" w:ascii="仿宋_GB2312" w:hAnsi="仿宋_GB2312" w:eastAsia="仿宋_GB2312" w:cs="仿宋_GB2312"/>
                <w:sz w:val="22"/>
                <w:szCs w:val="22"/>
                <w:lang w:val="en-US" w:eastAsia="zh-CN" w:bidi="ar-SA"/>
              </w:rPr>
              <w:t xml:space="preserve">、科学原理或常识错误;不利于本项目目标的实现、现有技术条件下不可能出现的情形等任意一种情形)。</w:t>
            </w:r>
            <w:r/>
          </w:p>
        </w:tc>
      </w:tr>
    </w:tbl>
    <w:p>
      <w:pPr>
        <w:pStyle w:val="724"/>
        <w:rPr>
          <w:rStyle w:val="963"/>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724"/>
        <w:rPr>
          <w:rStyle w:val="963"/>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724"/>
        <w:rPr>
          <w:rStyle w:val="963"/>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724"/>
        <w:rPr>
          <w:rStyle w:val="963"/>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rPr>
          <w:rFonts w:hint="eastAsia" w:ascii="仿宋_GB2312" w:hAnsi="仿宋_GB2312" w:eastAsia="仿宋_GB2312" w:cs="仿宋_GB2312"/>
        </w:rPr>
        <w:sectPr>
          <w:footnotePr/>
          <w:endnotePr/>
          <w:type w:val="nextColumn"/>
          <w:pgSz w:w="11906" w:h="16838" w:orient="portrait"/>
          <w:pgMar w:top="1440" w:right="1800" w:bottom="1440" w:left="1800" w:header="851" w:footer="992" w:gutter="0"/>
          <w:cols w:num="1" w:sep="0" w:space="720" w:equalWidth="1"/>
          <w:docGrid w:linePitch="360"/>
        </w:sectPr>
      </w:pPr>
      <w:r>
        <w:rPr>
          <w:rFonts w:hint="eastAsia" w:ascii="仿宋_GB2312" w:hAnsi="仿宋_GB2312" w:eastAsia="仿宋_GB2312" w:cs="仿宋_GB2312"/>
        </w:rPr>
      </w:r>
      <w:r/>
    </w:p>
    <w:p>
      <w:pPr>
        <w:ind w:firstLine="480"/>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2、采购需求</w:t>
      </w:r>
      <w:r/>
    </w:p>
    <w:p>
      <w:pPr>
        <w:ind w:firstLine="480"/>
        <w:spacing w:line="360" w:lineRule="auto"/>
        <w:rPr>
          <w:rFonts w:hint="eastAsia" w:ascii="仿宋_GB2312" w:hAnsi="仿宋_GB2312" w:eastAsia="仿宋_GB2312" w:cs="仿宋_GB2312"/>
          <w:b/>
          <w:bCs/>
          <w:sz w:val="30"/>
          <w:szCs w:val="30"/>
          <w:lang w:val="en-US" w:eastAsia="zh-CN"/>
        </w:rPr>
      </w:pPr>
      <w:r/>
      <w:bookmarkStart w:id="3" w:name="_Toc80122298"/>
      <w:r>
        <w:rPr>
          <w:rFonts w:hint="eastAsia" w:ascii="仿宋_GB2312" w:hAnsi="仿宋_GB2312" w:eastAsia="仿宋_GB2312" w:cs="仿宋_GB2312"/>
          <w:b/>
          <w:bCs/>
          <w:sz w:val="30"/>
          <w:szCs w:val="30"/>
          <w:lang w:val="en-US" w:eastAsia="zh-CN"/>
        </w:rPr>
        <w:t xml:space="preserve">一、项目内容</w:t>
      </w:r>
      <w:r/>
    </w:p>
    <w:p>
      <w:pPr>
        <w:pStyle w:val="1033"/>
        <w:ind w:firstLine="480"/>
        <w:jc w:val="both"/>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项目名称：</w:t>
      </w:r>
      <w:r>
        <w:rPr>
          <w:rFonts w:hint="eastAsia" w:ascii="仿宋" w:hAnsi="仿宋" w:eastAsia="仿宋" w:cs="仿宋"/>
          <w:highlight w:val="none"/>
          <w:lang w:eastAsia="zh-CN"/>
        </w:rPr>
        <w:t xml:space="preserve">新沂市国土变更调查及日常变更调查项目</w:t>
      </w:r>
      <w:r/>
    </w:p>
    <w:p>
      <w:pPr>
        <w:pStyle w:val="1033"/>
        <w:ind w:firstLine="480"/>
        <w:jc w:val="both"/>
        <w:spacing w:line="360" w:lineRule="auto"/>
        <w:rPr>
          <w:rFonts w:hint="eastAsia" w:ascii="仿宋" w:hAnsi="仿宋" w:eastAsia="仿宋" w:cs="仿宋"/>
          <w:highlight w:val="none"/>
        </w:rPr>
      </w:pPr>
      <w:r>
        <w:rPr>
          <w:rFonts w:hint="eastAsia" w:ascii="仿宋" w:hAnsi="仿宋" w:eastAsia="仿宋" w:cs="仿宋"/>
          <w:highlight w:val="none"/>
        </w:rPr>
        <w:t xml:space="preserve">采购预算：本项目采购预算金额为</w:t>
      </w:r>
      <w:r>
        <w:rPr>
          <w:rFonts w:hint="eastAsia" w:ascii="仿宋" w:hAnsi="仿宋" w:eastAsia="仿宋" w:cs="仿宋"/>
          <w:highlight w:val="none"/>
          <w:lang w:val="en-US" w:eastAsia="zh-CN"/>
        </w:rPr>
        <w:t xml:space="preserve">190.00</w:t>
      </w:r>
      <w:r>
        <w:rPr>
          <w:rFonts w:hint="eastAsia" w:ascii="仿宋" w:hAnsi="仿宋" w:eastAsia="仿宋" w:cs="仿宋"/>
          <w:highlight w:val="none"/>
        </w:rPr>
        <w:t xml:space="preserve">万元。</w:t>
      </w:r>
      <w:bookmarkEnd w:id="3"/>
      <w:r>
        <w:rPr>
          <w:rFonts w:hint="eastAsia" w:ascii="仿宋" w:hAnsi="仿宋" w:eastAsia="仿宋" w:cs="仿宋"/>
          <w:highlight w:val="none"/>
          <w:lang w:eastAsia="zh-CN"/>
        </w:rPr>
        <w:t xml:space="preserve">报价包含完成项目的所有费用，</w:t>
      </w:r>
      <w:r>
        <w:rPr>
          <w:rFonts w:hint="eastAsia" w:ascii="仿宋" w:hAnsi="仿宋" w:eastAsia="仿宋" w:cs="仿宋"/>
          <w:highlight w:val="none"/>
        </w:rPr>
        <w:t xml:space="preserve">采购人不再支付报价以外的任何费用。</w:t>
      </w:r>
      <w:r/>
    </w:p>
    <w:p>
      <w:pPr>
        <w:ind w:firstLine="480"/>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二、项目背景</w:t>
      </w:r>
      <w:r/>
    </w:p>
    <w:p>
      <w:pPr>
        <w:ind w:firstLine="480"/>
        <w:spacing w:line="360" w:lineRule="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根据自然资源部办公厅《关于开展2024年度全国国土变更调查工作的通知》、江苏省自然资源厅《关于开展全省2024年度国土变更调查工作的通知》等相关要求，为全面掌握新沂市年度国土利用变化情况，持续开展耕地“非农化”“非粮化”监测，更新新沂市年度国土变更调查成果，保持国土调查数据现势性，支撑自然资源“一张图”和综合监管平台平稳运行，不断夯实“以图管地”工作基础，新沂市自然资源和规划局决定开展新沂市国土变更调查及日常变更调查工作。</w:t>
      </w:r>
      <w:r/>
    </w:p>
    <w:p>
      <w:pPr>
        <w:pStyle w:val="1033"/>
        <w:ind w:firstLine="482"/>
        <w:jc w:val="both"/>
        <w:spacing w:line="360" w:lineRule="auto"/>
        <w:rPr>
          <w:rFonts w:hint="default" w:ascii="仿宋" w:hAnsi="仿宋" w:eastAsia="仿宋" w:cs="仿宋"/>
          <w:b/>
          <w:bCs/>
          <w:highlight w:val="none"/>
          <w:lang w:val="en-US" w:eastAsia="zh-CN"/>
        </w:rPr>
        <w:outlineLvl w:val="0"/>
      </w:pPr>
      <w:r>
        <w:rPr>
          <w:rFonts w:hint="eastAsia" w:ascii="仿宋" w:hAnsi="仿宋" w:eastAsia="仿宋" w:cs="仿宋"/>
          <w:b/>
          <w:bCs/>
          <w:highlight w:val="none"/>
          <w:lang w:val="en-US" w:eastAsia="zh-CN"/>
        </w:rPr>
        <w:t xml:space="preserve">三、主要工作任务</w:t>
      </w:r>
      <w:r/>
    </w:p>
    <w:p>
      <w:pPr>
        <w:ind w:firstLine="480"/>
        <w:spacing w:line="360" w:lineRule="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在上年度国土变更调查成果基础上，利用国家、省下发的卫星遥感影像，以及遥感监测图斑成果，结合耕地保护、督察执法、用途管制、生态修复等自然资源管理需要，补充提取各类变化图斑，开展新沂市国土变更调查及日常变更调查工作。通过县级实地调查举证，依托“江苏省国土变更调查省市县三级在线核查系统”和“国土调查云”平台，逐级报省市级检查、国家级核查，全面掌握本年度的地类、面积、属性及相关图层属性信息的变化情况，更新县级国土调查数据库，形成年度变更增量数据包。</w:t>
      </w:r>
      <w:r/>
    </w:p>
    <w:p>
      <w:pPr>
        <w:pStyle w:val="1033"/>
        <w:ind w:firstLine="482"/>
        <w:jc w:val="both"/>
        <w:spacing w:line="360" w:lineRule="auto"/>
        <w:rPr>
          <w:rFonts w:hint="eastAsia" w:ascii="仿宋" w:hAnsi="仿宋" w:eastAsia="仿宋" w:cs="仿宋"/>
          <w:b/>
          <w:bCs/>
          <w:highlight w:val="none"/>
          <w:lang w:val="zh-CN" w:eastAsia="zh-CN"/>
        </w:rPr>
        <w:outlineLvl w:val="0"/>
      </w:pPr>
      <w:r>
        <w:rPr>
          <w:rFonts w:hint="eastAsia" w:ascii="仿宋" w:hAnsi="仿宋" w:eastAsia="仿宋" w:cs="仿宋"/>
          <w:b/>
          <w:bCs/>
          <w:highlight w:val="none"/>
          <w:lang w:val="en-US" w:eastAsia="zh-CN"/>
        </w:rPr>
        <w:t xml:space="preserve">四、</w:t>
      </w:r>
      <w:r>
        <w:rPr>
          <w:rFonts w:hint="eastAsia" w:ascii="仿宋" w:hAnsi="仿宋" w:eastAsia="仿宋" w:cs="仿宋"/>
          <w:b/>
          <w:bCs/>
          <w:highlight w:val="none"/>
          <w:lang w:val="zh-CN" w:eastAsia="zh-CN"/>
        </w:rPr>
        <w:t xml:space="preserve">主要指标和规格</w:t>
      </w:r>
      <w:r/>
    </w:p>
    <w:p>
      <w:pPr>
        <w:ind w:firstLine="48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1）测绘基准</w:t>
      </w:r>
      <w:r/>
    </w:p>
    <w:p>
      <w:pPr>
        <w:ind w:firstLine="48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采用2000国家大地坐标系（CGCS2000）。</w:t>
      </w:r>
      <w:r/>
    </w:p>
    <w:p>
      <w:pPr>
        <w:ind w:firstLine="48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2）高程基准</w:t>
      </w:r>
      <w:r/>
    </w:p>
    <w:p>
      <w:pPr>
        <w:ind w:firstLine="48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采用1985国家高程基准。</w:t>
      </w:r>
      <w:r/>
    </w:p>
    <w:p>
      <w:pPr>
        <w:ind w:firstLine="480"/>
        <w:spacing w:line="360" w:lineRule="auto"/>
        <w:rPr>
          <w:rFonts w:hint="eastAsia" w:ascii="仿宋_GB2312" w:hAnsi="仿宋_GB2312" w:eastAsia="仿宋_GB2312" w:cs="仿宋_GB2312"/>
          <w:sz w:val="24"/>
          <w:szCs w:val="24"/>
        </w:rPr>
      </w:pPr>
      <w:r/>
      <w:bookmarkStart w:id="4" w:name="_Toc4176"/>
      <w:r>
        <w:rPr>
          <w:rFonts w:hint="eastAsia" w:ascii="仿宋_GB2312" w:hAnsi="仿宋_GB2312" w:eastAsia="仿宋_GB2312" w:cs="仿宋_GB2312"/>
          <w:sz w:val="24"/>
          <w:szCs w:val="24"/>
        </w:rPr>
        <w:t xml:space="preserve">3）成图比例尺</w:t>
      </w:r>
      <w:bookmarkEnd w:id="4"/>
      <w:r/>
      <w:r/>
    </w:p>
    <w:p>
      <w:pPr>
        <w:ind w:firstLine="480"/>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成图比例尺1:5000。</w:t>
      </w:r>
      <w:r/>
    </w:p>
    <w:p>
      <w:pPr>
        <w:ind w:firstLine="480"/>
        <w:spacing w:line="360" w:lineRule="auto"/>
        <w:rPr>
          <w:rFonts w:hint="eastAsia" w:ascii="仿宋_GB2312" w:hAnsi="仿宋_GB2312" w:eastAsia="仿宋_GB2312" w:cs="仿宋_GB2312"/>
          <w:sz w:val="24"/>
          <w:szCs w:val="24"/>
        </w:rPr>
      </w:pPr>
      <w:r/>
      <w:bookmarkStart w:id="5" w:name="_Toc25850354"/>
      <w:r/>
      <w:bookmarkStart w:id="6" w:name="_Toc1375"/>
      <w:r>
        <w:rPr>
          <w:rFonts w:hint="eastAsia" w:ascii="仿宋_GB2312" w:hAnsi="仿宋_GB2312" w:eastAsia="仿宋_GB2312" w:cs="仿宋_GB2312"/>
          <w:sz w:val="24"/>
          <w:szCs w:val="24"/>
        </w:rPr>
        <w:t xml:space="preserve">4）分幅及编号</w:t>
      </w:r>
      <w:bookmarkEnd w:id="5"/>
      <w:r/>
      <w:bookmarkEnd w:id="6"/>
      <w:r/>
      <w:r/>
    </w:p>
    <w:p>
      <w:pPr>
        <w:ind w:firstLine="480"/>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日常变更调查比例尺标准分幅及编号执行GB/T13989标准。标准分幅以国际1:1000000地图分幅为标准，各比例尺标准分幅图以经差和纬差划分，采用经、纬度分幅。标准分幅图编号均以1:1000000地形图编号为基础以行列编号方法。</w:t>
      </w:r>
      <w:r/>
    </w:p>
    <w:p>
      <w:pPr>
        <w:ind w:firstLine="480"/>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1:5000的土地利用现状图，以1:1000000国际标准分幅为基础，采用192×192的行列分幅编号，图幅大小为经差1′52.5〞，纬差1′15〞。</w:t>
      </w:r>
      <w:r/>
    </w:p>
    <w:p>
      <w:pPr>
        <w:ind w:left="480"/>
        <w:spacing w:line="360" w:lineRule="auto"/>
        <w:rPr>
          <w:rFonts w:hint="eastAsia" w:ascii="仿宋_GB2312" w:hAnsi="仿宋_GB2312" w:eastAsia="仿宋_GB2312" w:cs="仿宋_GB2312"/>
          <w:sz w:val="24"/>
          <w:szCs w:val="24"/>
        </w:rPr>
      </w:pPr>
      <w:r/>
      <w:bookmarkStart w:id="7" w:name="_Toc1117"/>
      <w:r/>
      <w:bookmarkStart w:id="8" w:name="_Toc25850355"/>
      <w:r>
        <w:rPr>
          <w:rFonts w:hint="eastAsia" w:ascii="仿宋_GB2312" w:hAnsi="仿宋_GB2312" w:eastAsia="仿宋_GB2312" w:cs="仿宋_GB2312"/>
          <w:sz w:val="24"/>
          <w:szCs w:val="24"/>
        </w:rPr>
        <w:t xml:space="preserve">5）计量单位</w:t>
      </w:r>
      <w:bookmarkEnd w:id="7"/>
      <w:r/>
      <w:bookmarkEnd w:id="8"/>
      <w:r/>
      <w:r/>
    </w:p>
    <w:p>
      <w:pPr>
        <w:ind w:firstLine="480"/>
        <w:spacing w:line="360" w:lineRule="auto"/>
        <w:rPr>
          <w:rFonts w:hint="eastAsia" w:ascii="仿宋" w:hAnsi="仿宋" w:eastAsia="仿宋" w:cs="仿宋"/>
          <w:b/>
          <w:bCs/>
          <w:highlight w:val="none"/>
        </w:rPr>
      </w:pPr>
      <w:r>
        <w:rPr>
          <w:rFonts w:hint="eastAsia" w:ascii="仿宋_GB2312" w:hAnsi="仿宋_GB2312" w:eastAsia="仿宋_GB2312" w:cs="仿宋_GB2312"/>
          <w:bCs/>
          <w:sz w:val="24"/>
          <w:szCs w:val="24"/>
        </w:rPr>
        <w:t xml:space="preserve">长度单位采用米（m），保留1位小数；面积计算单位采用平方米（m</w:t>
      </w:r>
      <w:r>
        <w:rPr>
          <w:rFonts w:hint="eastAsia" w:ascii="仿宋_GB2312" w:hAnsi="仿宋_GB2312" w:eastAsia="仿宋_GB2312" w:cs="仿宋_GB2312"/>
          <w:bCs/>
          <w:sz w:val="24"/>
          <w:szCs w:val="24"/>
          <w:vertAlign w:val="superscript"/>
        </w:rPr>
        <w:t xml:space="preserve">2</w:t>
      </w:r>
      <w:r>
        <w:rPr>
          <w:rFonts w:hint="eastAsia" w:ascii="仿宋_GB2312" w:hAnsi="仿宋_GB2312" w:eastAsia="仿宋_GB2312" w:cs="仿宋_GB2312"/>
          <w:bCs/>
          <w:sz w:val="24"/>
          <w:szCs w:val="24"/>
        </w:rPr>
        <w:t xml:space="preserve">），保留2位小数；面积统计汇总单位采用公顷（hm</w:t>
      </w:r>
      <w:r>
        <w:rPr>
          <w:rFonts w:hint="eastAsia" w:ascii="仿宋_GB2312" w:hAnsi="仿宋_GB2312" w:eastAsia="仿宋_GB2312" w:cs="仿宋_GB2312"/>
          <w:bCs/>
          <w:sz w:val="24"/>
          <w:szCs w:val="24"/>
          <w:vertAlign w:val="superscript"/>
        </w:rPr>
        <w:t xml:space="preserve">2</w:t>
      </w:r>
      <w:r>
        <w:rPr>
          <w:rFonts w:hint="eastAsia" w:ascii="仿宋_GB2312" w:hAnsi="仿宋_GB2312" w:eastAsia="仿宋_GB2312" w:cs="仿宋_GB2312"/>
          <w:bCs/>
          <w:sz w:val="24"/>
          <w:szCs w:val="24"/>
        </w:rPr>
        <w:t xml:space="preserve">）和亩，保留2位小数。</w:t>
      </w:r>
      <w:r/>
    </w:p>
    <w:p>
      <w:pPr>
        <w:pStyle w:val="1033"/>
        <w:ind w:firstLine="482"/>
        <w:jc w:val="both"/>
        <w:spacing w:line="360" w:lineRule="auto"/>
        <w:rPr>
          <w:rFonts w:hint="eastAsia" w:ascii="仿宋" w:hAnsi="仿宋" w:eastAsia="仿宋" w:cs="仿宋"/>
          <w:b/>
          <w:bCs/>
          <w:highlight w:val="none"/>
          <w:lang w:val="zh-CN" w:eastAsia="zh-CN"/>
        </w:rPr>
        <w:outlineLvl w:val="0"/>
      </w:pPr>
      <w:r>
        <w:rPr>
          <w:rFonts w:hint="eastAsia" w:ascii="仿宋" w:hAnsi="仿宋" w:eastAsia="仿宋" w:cs="仿宋"/>
          <w:b/>
          <w:bCs/>
          <w:highlight w:val="none"/>
          <w:lang w:val="zh-CN" w:eastAsia="zh-CN"/>
        </w:rPr>
        <w:t xml:space="preserve">五、项目工期要求</w:t>
      </w:r>
      <w:r/>
    </w:p>
    <w:p>
      <w:pPr>
        <w:ind w:firstLine="480"/>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新沂市国土变更调查及日常变更调查项目工期进度要求以自然资源部、江苏省自然资源厅和徐州</w:t>
      </w:r>
      <w:r>
        <w:rPr>
          <w:rFonts w:hint="eastAsia" w:ascii="仿宋_GB2312" w:hAnsi="仿宋_GB2312" w:eastAsia="仿宋_GB2312" w:cs="仿宋_GB2312"/>
          <w:bCs/>
          <w:sz w:val="24"/>
          <w:szCs w:val="24"/>
          <w:lang w:val="en-US" w:eastAsia="zh-CN"/>
        </w:rPr>
        <w:t xml:space="preserve">市自然资源和规划局以及招标人要求的</w:t>
      </w:r>
      <w:r>
        <w:rPr>
          <w:rFonts w:hint="eastAsia" w:ascii="仿宋_GB2312" w:hAnsi="仿宋_GB2312" w:eastAsia="仿宋_GB2312" w:cs="仿宋_GB2312"/>
          <w:bCs/>
          <w:sz w:val="24"/>
          <w:szCs w:val="24"/>
        </w:rPr>
        <w:t xml:space="preserve">具体工作进度为准。</w:t>
      </w:r>
      <w:r/>
    </w:p>
    <w:p>
      <w:pPr>
        <w:pStyle w:val="1033"/>
        <w:ind w:firstLine="482"/>
        <w:jc w:val="both"/>
        <w:spacing w:line="360" w:lineRule="auto"/>
        <w:rPr>
          <w:rFonts w:hint="eastAsia" w:ascii="仿宋" w:hAnsi="仿宋" w:eastAsia="仿宋" w:cs="仿宋"/>
          <w:b/>
          <w:bCs/>
          <w:highlight w:val="none"/>
          <w:lang w:val="en-US" w:eastAsia="zh-CN"/>
        </w:rPr>
        <w:outlineLvl w:val="0"/>
      </w:pPr>
      <w:r>
        <w:rPr>
          <w:rFonts w:hint="eastAsia" w:ascii="仿宋" w:hAnsi="仿宋" w:eastAsia="仿宋" w:cs="仿宋"/>
          <w:b/>
          <w:bCs/>
          <w:highlight w:val="none"/>
          <w:lang w:val="zh-CN" w:eastAsia="zh-CN"/>
        </w:rPr>
        <w:t xml:space="preserve">六、</w:t>
      </w:r>
      <w:r>
        <w:rPr>
          <w:rFonts w:hint="eastAsia" w:ascii="仿宋" w:hAnsi="仿宋" w:eastAsia="仿宋" w:cs="仿宋"/>
          <w:b/>
          <w:bCs/>
          <w:highlight w:val="none"/>
          <w:lang w:val="en-US" w:eastAsia="zh-CN"/>
        </w:rPr>
        <w:t xml:space="preserve">质量要求</w:t>
      </w:r>
      <w:r/>
    </w:p>
    <w:p>
      <w:pPr>
        <w:ind w:firstLine="480"/>
        <w:spacing w:line="360" w:lineRule="auto"/>
        <w:rPr>
          <w:rFonts w:hint="eastAsia" w:ascii="仿宋" w:hAnsi="仿宋" w:eastAsia="仿宋" w:cs="仿宋"/>
          <w:sz w:val="24"/>
          <w:szCs w:val="24"/>
          <w:highlight w:val="none"/>
        </w:rPr>
      </w:pPr>
      <w:r>
        <w:rPr>
          <w:rFonts w:hint="eastAsia" w:ascii="仿宋_GB2312" w:hAnsi="仿宋_GB2312" w:eastAsia="仿宋_GB2312" w:cs="仿宋_GB2312"/>
          <w:bCs/>
          <w:sz w:val="24"/>
          <w:szCs w:val="24"/>
          <w:lang w:val="en-US" w:eastAsia="zh-CN"/>
        </w:rPr>
        <w:t xml:space="preserve">项目中标单位必须保证本项目成果数据质量合格，项目成果需通过自然资源部、江苏省自然资源厅等上级部门的检查核查。</w:t>
      </w:r>
      <w:r/>
    </w:p>
    <w:p>
      <w:pPr>
        <w:pStyle w:val="1033"/>
        <w:ind w:firstLine="482"/>
        <w:jc w:val="both"/>
        <w:spacing w:line="360" w:lineRule="auto"/>
        <w:rPr>
          <w:rFonts w:hint="eastAsia" w:ascii="仿宋" w:hAnsi="仿宋" w:eastAsia="仿宋" w:cs="仿宋"/>
          <w:b/>
          <w:bCs/>
          <w:highlight w:val="none"/>
          <w:lang w:val="en-US" w:eastAsia="zh-CN"/>
        </w:rPr>
        <w:outlineLvl w:val="0"/>
      </w:pPr>
      <w:r>
        <w:rPr>
          <w:rFonts w:hint="eastAsia" w:ascii="仿宋" w:hAnsi="仿宋" w:eastAsia="仿宋" w:cs="仿宋"/>
          <w:b/>
          <w:bCs/>
          <w:highlight w:val="none"/>
          <w:lang w:val="en-US" w:eastAsia="zh-CN"/>
        </w:rPr>
        <w:t xml:space="preserve">七、其他要求：见采购文件 《拟签订的合同文本》。</w:t>
      </w:r>
      <w:r/>
    </w:p>
    <w:p>
      <w:pPr>
        <w:jc w:val="center"/>
        <w:spacing w:before="157"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jc w:val="center"/>
        <w:spacing w:before="157"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jc w:val="center"/>
        <w:spacing w:before="157"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jc w:val="center"/>
        <w:spacing w:before="157"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jc w:val="center"/>
        <w:spacing w:before="157"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jc w:val="center"/>
        <w:spacing w:before="157"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pStyle w:val="724"/>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pStyle w:val="724"/>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pStyle w:val="724"/>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pStyle w:val="724"/>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pStyle w:val="724"/>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pStyle w:val="724"/>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pStyle w:val="724"/>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pStyle w:val="724"/>
        <w:ind w:left="0" w:firstLine="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3、（一）磋商报价表</w:t>
      </w:r>
      <w:r/>
    </w:p>
    <w:p>
      <w:pPr>
        <w:jc w:val="cente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（首次报价）</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JSZC-320381-WYZJ-C2025-0023</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货币单位：人民币元</w:t>
      </w:r>
      <w:r/>
    </w:p>
    <w:tbl>
      <w:tblPr>
        <w:tblStyle w:val="716"/>
        <w:tblW w:w="8810"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55"/>
        <w:gridCol w:w="4065"/>
        <w:gridCol w:w="2590"/>
      </w:tblGrid>
      <w:tr>
        <w:trPr>
          <w:cantSplit/>
          <w:jc w:val="center"/>
          <w:trHeight w:val="631"/>
        </w:trPr>
        <w:tc>
          <w:tcPr>
            <w:tcW w:w="2155" w:type="dxa"/>
            <w:vAlign w:val="center"/>
            <w:textDirection w:val="lrTb"/>
            <w:noWrap w:val="false"/>
          </w:tcPr>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项目名称</w:t>
            </w:r>
            <w:r/>
          </w:p>
        </w:tc>
        <w:tc>
          <w:tcPr>
            <w:tcW w:w="4065" w:type="dxa"/>
            <w:vAlign w:val="center"/>
            <w:textDirection w:val="lrTb"/>
            <w:noWrap w:val="false"/>
          </w:tcPr>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报价（小写）</w:t>
            </w:r>
            <w:r/>
          </w:p>
        </w:tc>
        <w:tc>
          <w:tcPr>
            <w:tcW w:w="2590" w:type="dxa"/>
            <w:vAlign w:val="center"/>
            <w:textDirection w:val="lrTb"/>
            <w:noWrap w:val="false"/>
          </w:tcPr>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 xml:space="preserve">备注</w:t>
            </w:r>
            <w:r/>
          </w:p>
        </w:tc>
      </w:tr>
      <w:tr>
        <w:trPr>
          <w:cantSplit/>
          <w:jc w:val="center"/>
          <w:trHeight w:val="1939"/>
        </w:trPr>
        <w:tc>
          <w:tcPr>
            <w:tcW w:w="2155" w:type="dxa"/>
            <w:vAlign w:val="center"/>
            <w:textDirection w:val="lrTb"/>
            <w:noWrap w:val="false"/>
          </w:tcPr>
          <w:p>
            <w:pP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 xml:space="preserve">新沂市国土变更调查及日常变更调查项目</w:t>
            </w:r>
            <w:r/>
          </w:p>
        </w:tc>
        <w:tc>
          <w:tcPr>
            <w:tcW w:w="4065"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2590"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cantSplit/>
          <w:jc w:val="center"/>
          <w:trHeight w:val="789"/>
        </w:trPr>
        <w:tc>
          <w:tcPr>
            <w:tcW w:w="2155"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t xml:space="preserve">报价（大写）：</w:t>
            </w:r>
            <w:r/>
          </w:p>
        </w:tc>
        <w:tc>
          <w:tcPr>
            <w:gridSpan w:val="2"/>
            <w:tcW w:w="6655" w:type="dxa"/>
            <w:vAlign w:val="center"/>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r>
    </w:tbl>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供应商承诺：本报价（总价）为供应商本企业提供的服务。</w:t>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报价说明：</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1、报价包括完成项目的所有费用。采购人不再支付报价以外的任何费用。</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2、报价以总价为准，大小写不一致以大写为准；</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3、偏离说明：详见《偏离表》；</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4、如最后报价未列明单价，则最后所报各项单价计算方法为：（最后总价/最初总价）*各项最初报价的单价。</w:t>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供应商名称：</w:t>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法定代表人(负责人)或授权代表（签字或盖章）：</w:t>
      </w:r>
      <w:r/>
    </w:p>
    <w:p>
      <w:pPr>
        <w:ind w:firstLine="472"/>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jc w:val="left"/>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pStyle w:val="967"/>
        <w:ind w:left="0" w:firstLine="0"/>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center"/>
        <w:rPr>
          <w:rStyle w:val="963"/>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jc w:val="center"/>
        <w:rPr>
          <w:rStyle w:val="963"/>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jc w:val="cente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30"/>
          <w:szCs w:val="30"/>
          <w:lang w:val="en-US" w:eastAsia="zh-CN"/>
        </w:rPr>
        <w:t xml:space="preserve">4、偏离表</w:t>
      </w:r>
      <w:r/>
    </w:p>
    <w:p>
      <w:pPr>
        <w:ind w:firstLine="472"/>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JSZC-320381-WYZJ-C2025-0023</w:t>
      </w:r>
      <w:r/>
    </w:p>
    <w:tbl>
      <w:tblPr>
        <w:tblStyle w:val="716"/>
        <w:tblW w:w="89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jc w:val="center"/>
          <w:trHeight w:val="414"/>
        </w:trPr>
        <w:tc>
          <w:tcPr>
            <w:tcW w:w="959"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序号</w:t>
            </w:r>
            <w:r/>
          </w:p>
        </w:tc>
        <w:tc>
          <w:tcPr>
            <w:tcW w:w="1273"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内容</w:t>
            </w:r>
            <w:r/>
          </w:p>
        </w:tc>
        <w:tc>
          <w:tcPr>
            <w:tcW w:w="1356"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磋商文件要求</w:t>
            </w:r>
            <w:r/>
          </w:p>
        </w:tc>
        <w:tc>
          <w:tcPr>
            <w:tcW w:w="1765"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供应商首次响应文件内容</w:t>
            </w:r>
            <w:r/>
          </w:p>
        </w:tc>
        <w:tc>
          <w:tcPr>
            <w:tcW w:w="1595"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（正/负/无）偏离</w:t>
            </w:r>
            <w:r/>
          </w:p>
        </w:tc>
        <w:tc>
          <w:tcPr>
            <w:tcW w:w="1980" w:type="dxa"/>
            <w:vAlign w:val="center"/>
            <w:textDirection w:val="lrTb"/>
            <w:noWrap w:val="false"/>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 xml:space="preserve">说明</w:t>
            </w:r>
            <w:r/>
          </w:p>
        </w:tc>
      </w:tr>
      <w:tr>
        <w:trPr>
          <w:jc w:val="center"/>
          <w:trHeight w:val="794"/>
        </w:trPr>
        <w:tc>
          <w:tcPr>
            <w:tcW w:w="959"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273"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356"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765"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595"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980"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bl>
    <w:p>
      <w:pPr>
        <w:rPr>
          <w:rFonts w:hint="eastAsia" w:ascii="仿宋_GB2312" w:hAnsi="仿宋_GB2312" w:eastAsia="仿宋_GB2312" w:cs="仿宋_GB2312"/>
          <w:sz w:val="24"/>
        </w:rPr>
      </w:pPr>
      <w:r>
        <w:rPr>
          <w:rFonts w:hint="eastAsia" w:ascii="仿宋_GB2312" w:hAnsi="仿宋_GB2312" w:eastAsia="仿宋_GB2312" w:cs="仿宋_GB2312"/>
          <w:sz w:val="24"/>
        </w:rPr>
        <w:t xml:space="preserve">注：供应商递交的首次响应文件中与《磋商文件》和《磋商文件修改（澄清）》（如有）的要求有不同时，应逐条列在偏离表中，否则将认为供应商接受磋商文件的要求。</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供应商名称： </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法定代表人(负责人)或授权代表（签字或盖章）：</w:t>
      </w:r>
      <w:r/>
    </w:p>
    <w:p>
      <w:pPr>
        <w:ind w:firstLine="472"/>
        <w:spacing w:line="360" w:lineRule="auto"/>
        <w:rPr>
          <w:rStyle w:val="963"/>
          <w:rFonts w:hint="eastAsia" w:ascii="仿宋_GB2312" w:hAnsi="仿宋_GB2312" w:eastAsia="仿宋_GB2312" w:cs="仿宋_GB2312"/>
          <w:b w:val="0"/>
          <w:bCs w:val="0"/>
          <w:sz w:val="24"/>
          <w:szCs w:val="24"/>
        </w:rPr>
      </w:pPr>
      <w:r>
        <w:rPr>
          <w:rStyle w:val="963"/>
          <w:rFonts w:hint="eastAsia" w:ascii="仿宋_GB2312" w:hAnsi="仿宋_GB2312" w:eastAsia="仿宋_GB2312" w:cs="仿宋_GB2312"/>
          <w:b w:val="0"/>
          <w:bCs w:val="0"/>
          <w:sz w:val="24"/>
          <w:szCs w:val="24"/>
        </w:rPr>
        <w:t xml:space="preserve">日期：    年   月   日</w:t>
      </w:r>
      <w:r/>
    </w:p>
    <w:p>
      <w:pPr>
        <w:jc w:val="center"/>
        <w:spacing w:line="360" w:lineRule="auto"/>
        <w:rPr>
          <w:rStyle w:val="963"/>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798"/>
        <w:ind w:firstLine="0"/>
        <w:rPr>
          <w:rFonts w:hint="eastAsia" w:ascii="仿宋_GB2312" w:hAnsi="仿宋_GB2312" w:eastAsia="仿宋_GB2312" w:cs="仿宋_GB2312"/>
        </w:rPr>
      </w:pPr>
      <w:r>
        <w:rPr>
          <w:rFonts w:hint="eastAsia" w:ascii="仿宋_GB2312" w:hAnsi="仿宋_GB2312" w:eastAsia="仿宋_GB2312" w:cs="仿宋_GB2312"/>
        </w:rPr>
      </w:r>
      <w:r/>
    </w:p>
    <w:p>
      <w:pPr>
        <w:spacing w:line="360" w:lineRule="auto"/>
        <w:rPr>
          <w:rStyle w:val="963"/>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ind w:firstLine="480"/>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5、承诺书</w:t>
      </w:r>
      <w:r/>
    </w:p>
    <w:p>
      <w:pPr>
        <w:ind w:firstLine="472"/>
        <w:widowControl/>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致：</w:t>
      </w:r>
      <w:r>
        <w:rPr>
          <w:rFonts w:hint="eastAsia" w:ascii="仿宋_GB2312" w:hAnsi="仿宋_GB2312" w:eastAsia="仿宋_GB2312" w:cs="仿宋_GB2312"/>
          <w:sz w:val="24"/>
          <w:lang w:eastAsia="zh-CN"/>
        </w:rPr>
        <w:t xml:space="preserve">江苏伟业房地产土地评估造价咨询有限公司</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根据贵方</w:t>
      </w:r>
      <w:r>
        <w:rPr>
          <w:rFonts w:hint="eastAsia" w:ascii="仿宋_GB2312" w:hAnsi="仿宋_GB2312" w:eastAsia="仿宋_GB2312" w:cs="仿宋_GB2312"/>
          <w:sz w:val="24"/>
          <w:u w:val="single"/>
          <w:lang w:eastAsia="zh-CN"/>
        </w:rPr>
        <w:t xml:space="preserve">新沂市国土变更调查及日常变更调查项目</w:t>
      </w:r>
      <w:r>
        <w:rPr>
          <w:rFonts w:hint="eastAsia" w:ascii="仿宋_GB2312" w:hAnsi="仿宋_GB2312" w:eastAsia="仿宋_GB2312" w:cs="仿宋_GB2312"/>
          <w:sz w:val="24"/>
        </w:rPr>
        <w:t xml:space="preserve">《竞争性磋商文件》（项目编号：</w:t>
      </w:r>
      <w:r>
        <w:rPr>
          <w:rFonts w:hint="eastAsia" w:ascii="仿宋_GB2312" w:hAnsi="仿宋_GB2312" w:eastAsia="仿宋_GB2312" w:cs="仿宋_GB2312"/>
          <w:sz w:val="24"/>
          <w:lang w:eastAsia="zh-CN"/>
        </w:rPr>
        <w:t xml:space="preserve">JSZC-320381-WYZJ-C2025-0023</w:t>
      </w:r>
      <w:r>
        <w:rPr>
          <w:rFonts w:hint="eastAsia" w:ascii="仿宋_GB2312" w:hAnsi="仿宋_GB2312" w:eastAsia="仿宋_GB2312" w:cs="仿宋_GB2312"/>
          <w:sz w:val="24"/>
        </w:rPr>
        <w:t xml:space="preserve">）要求，本供应商正式提交以下首次响应文件。</w:t>
      </w:r>
      <w:r/>
    </w:p>
    <w:p>
      <w:pPr>
        <w:ind w:firstLine="472"/>
        <w:widowControl/>
        <w:rPr>
          <w:rFonts w:hint="eastAsia" w:ascii="仿宋_GB2312" w:hAnsi="仿宋_GB2312" w:eastAsia="仿宋_GB2312" w:cs="仿宋_GB2312"/>
        </w:rPr>
      </w:pP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_GB2312" w:hAnsi="仿宋_GB2312" w:eastAsia="仿宋_GB2312" w:cs="仿宋_GB2312"/>
          <w:sz w:val="24"/>
        </w:rPr>
        <w:t xml:space="preserve">（1）承诺书；</w:t>
      </w:r>
      <w:r/>
    </w:p>
    <w:p>
      <w:pPr>
        <w:ind w:firstLine="472"/>
        <w:widowControl/>
        <w:rPr>
          <w:rFonts w:hint="eastAsia" w:ascii="仿宋_GB2312" w:hAnsi="仿宋_GB2312" w:eastAsia="仿宋_GB2312" w:cs="仿宋_GB2312"/>
        </w:rPr>
      </w:pPr>
      <w:r>
        <w:rPr>
          <w:rFonts w:hint="eastAsia" w:ascii="仿宋_GB2312" w:hAnsi="仿宋_GB2312" w:eastAsia="仿宋_GB2312" w:cs="仿宋_GB2312"/>
          <w:sz w:val="24"/>
        </w:rPr>
        <w:t xml:space="preserve">（2）磋商报价表；</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（3）偏离表；</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（4）磋商文件要求提供的其他响应文件。</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我单位符合《中华人民共和国政府采购法》第二十二条的规定，符合本项目供应商资格要求。</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我单位按照磋商文件的要求编制响应文件，并对其提交的响应文件的真实性、合法性承担法律责任。</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供应商兹宣布同意如下: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_GB2312" w:hAnsi="仿宋_GB2312" w:eastAsia="仿宋_GB2312" w:cs="仿宋_GB2312"/>
          <w:sz w:val="24"/>
        </w:rPr>
        <w:t xml:space="preserve">一、完全承担根据《磋商文件》规定完成合同的责任和义务（如有偏离，将全部填写在偏离表中）。</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sz w:val="24"/>
        </w:rPr>
        <w:t xml:space="preserve">二、保证所提供的响应文件及所有材料的真实、合法、有效，并对其负责。</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三、已详细审核竞争性磋商文件（含竞争性磋商文件的澄清或者修改），本供应商完全理解并同意放弃对这方面不明及误解的权利。</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四、所供服务保证符合国家有关产品质量、性能和安全标准，无权利瑕疵。</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五、同意向贵方提供贵方可能要求的与本次磋商采购有关的任何证据或资料。</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六、</w:t>
      </w:r>
      <w:r>
        <w:rPr>
          <w:rFonts w:hint="eastAsia" w:ascii="仿宋_GB2312" w:hAnsi="仿宋_GB2312" w:eastAsia="仿宋_GB2312" w:cs="仿宋_GB2312"/>
          <w:sz w:val="24"/>
          <w:lang w:eastAsia="zh-CN"/>
        </w:rPr>
        <w:t xml:space="preserve">江苏伟业房地产土地评估造价咨询有限公司</w:t>
      </w:r>
      <w:r>
        <w:rPr>
          <w:rFonts w:hint="eastAsia" w:ascii="仿宋_GB2312" w:hAnsi="仿宋_GB2312" w:eastAsia="仿宋_GB2312" w:cs="仿宋_GB2312"/>
          <w:sz w:val="24"/>
        </w:rPr>
        <w:t xml:space="preserve">有权将我单位本项目的《磋商报价表》予以公示，公示的方式由</w:t>
      </w:r>
      <w:r>
        <w:rPr>
          <w:rFonts w:hint="eastAsia" w:ascii="仿宋_GB2312" w:hAnsi="仿宋_GB2312" w:eastAsia="仿宋_GB2312" w:cs="仿宋_GB2312"/>
          <w:sz w:val="24"/>
          <w:lang w:eastAsia="zh-CN"/>
        </w:rPr>
        <w:t xml:space="preserve">江苏伟业房地产土地评估造价咨询有限公司</w:t>
      </w:r>
      <w:r>
        <w:rPr>
          <w:rFonts w:hint="eastAsia" w:ascii="仿宋_GB2312" w:hAnsi="仿宋_GB2312" w:eastAsia="仿宋_GB2312" w:cs="仿宋_GB2312"/>
          <w:sz w:val="24"/>
        </w:rPr>
        <w:t xml:space="preserve">确定。</w:t>
      </w:r>
      <w:r/>
    </w:p>
    <w:p>
      <w:pPr>
        <w:ind w:firstLine="472"/>
        <w:rPr>
          <w:rFonts w:hint="eastAsia" w:ascii="仿宋_GB2312" w:hAnsi="仿宋_GB2312" w:eastAsia="仿宋_GB2312" w:cs="仿宋_GB2312"/>
          <w:sz w:val="24"/>
        </w:rPr>
      </w:pPr>
      <w:r>
        <w:rPr>
          <w:rFonts w:hint="eastAsia" w:ascii="仿宋_GB2312" w:hAnsi="仿宋_GB2312" w:eastAsia="仿宋_GB2312" w:cs="仿宋_GB2312"/>
          <w:sz w:val="24"/>
        </w:rPr>
        <w:t xml:space="preserve">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72"/>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八、同意在收到成交通知书后，按照有关规定支付代理服务费。</w:t>
      </w:r>
      <w:r/>
    </w:p>
    <w:p>
      <w:pPr>
        <w:ind w:firstLine="472"/>
        <w:rPr>
          <w:rFonts w:hint="eastAsia" w:ascii="仿宋_GB2312" w:hAnsi="仿宋_GB2312" w:eastAsia="仿宋_GB2312" w:cs="仿宋_GB2312"/>
          <w:sz w:val="24"/>
        </w:rPr>
      </w:pPr>
      <w:r>
        <w:rPr>
          <w:rFonts w:hint="eastAsia" w:ascii="仿宋_GB2312" w:hAnsi="仿宋_GB2312" w:eastAsia="仿宋_GB2312" w:cs="仿宋_GB2312"/>
          <w:sz w:val="24"/>
        </w:rPr>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pStyle w:val="791"/>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法定代表人(负责人)或授权代表（签字或盖章）：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联系电话：</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w:t>
      </w:r>
      <w:r/>
    </w:p>
    <w:p>
      <w:pPr>
        <w:pStyle w:val="798"/>
        <w:ind w:firstLine="0"/>
        <w:rPr>
          <w:rFonts w:hint="eastAsia" w:ascii="仿宋_GB2312" w:hAnsi="仿宋_GB2312" w:eastAsia="仿宋_GB2312" w:cs="仿宋_GB2312"/>
        </w:rPr>
      </w:pPr>
      <w:r>
        <w:rPr>
          <w:rFonts w:hint="eastAsia" w:ascii="仿宋_GB2312" w:hAnsi="仿宋_GB2312" w:eastAsia="仿宋_GB2312" w:cs="仿宋_GB2312"/>
        </w:rPr>
      </w:r>
      <w:r/>
    </w:p>
    <w:p>
      <w:pPr>
        <w:pStyle w:val="791"/>
        <w:rPr>
          <w:rFonts w:hint="eastAsia" w:ascii="仿宋_GB2312" w:hAnsi="仿宋_GB2312" w:eastAsia="仿宋_GB2312" w:cs="仿宋_GB2312"/>
        </w:rPr>
      </w:pPr>
      <w:r>
        <w:rPr>
          <w:rFonts w:hint="eastAsia" w:ascii="仿宋_GB2312" w:hAnsi="仿宋_GB2312" w:eastAsia="仿宋_GB2312" w:cs="仿宋_GB2312"/>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ind w:firstLine="480"/>
        <w:jc w:val="center"/>
        <w:spacing w:line="360" w:lineRule="auto"/>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6、法人授权委托书</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委托人（全称）：</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地  址：</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法人营业执照注册号（统一社会信用代码）：</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受托人：                  先生（女士）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联系电话：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身份证号：</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兹委托（           ）全权代表我企业（公司）参与</w:t>
      </w:r>
      <w:r>
        <w:rPr>
          <w:rFonts w:hint="eastAsia" w:ascii="仿宋_GB2312" w:hAnsi="仿宋_GB2312" w:eastAsia="仿宋_GB2312" w:cs="仿宋_GB2312"/>
          <w:sz w:val="24"/>
          <w:u w:val="single"/>
          <w:lang w:eastAsia="zh-CN"/>
        </w:rPr>
        <w:t xml:space="preserve">新沂市国土变更调查及日常变更调查项目</w:t>
      </w: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JSZC-320381-WYZJ-C2025-0023</w:t>
      </w:r>
      <w:r>
        <w:rPr>
          <w:rFonts w:hint="eastAsia" w:ascii="仿宋_GB2312" w:hAnsi="仿宋_GB2312" w:eastAsia="仿宋_GB2312" w:cs="仿宋_GB2312"/>
          <w:sz w:val="24"/>
        </w:rPr>
        <w:t xml:space="preserve">]的磋商活动。（           ）以我单位名义所为的行为及签署的文件，我单位均予以认可。有关法律责任均由我单位承担。（           ）无转委托权。</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委托期限自     年   月  日起至    年   月   日止。</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委托人（</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法定代表人（签字或盖章）：</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受托人（签字）：</w:t>
      </w:r>
      <w:r/>
    </w:p>
    <w:p>
      <w:pPr>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(受托人身份证正反面附后)</w:t>
      </w:r>
      <w:r/>
    </w:p>
    <w:p>
      <w:pPr>
        <w:jc w:val="center"/>
        <w:rPr>
          <w:rStyle w:val="963"/>
          <w:rFonts w:hint="eastAsia" w:ascii="仿宋_GB2312" w:hAnsi="仿宋_GB2312" w:eastAsia="仿宋_GB2312" w:cs="仿宋_GB2312"/>
          <w:sz w:val="24"/>
          <w:szCs w:val="24"/>
        </w:rPr>
      </w:pPr>
      <w:r>
        <w:rPr>
          <w:rFonts w:hint="eastAsia" w:ascii="仿宋_GB2312" w:hAnsi="仿宋_GB2312" w:eastAsia="仿宋_GB2312" w:cs="仿宋_GB2312"/>
          <w:b/>
          <w:sz w:val="24"/>
        </w:rPr>
        <w:br w:type="page" w:clear="all"/>
      </w:r>
      <w:r>
        <w:rPr>
          <w:rFonts w:hint="eastAsia" w:ascii="仿宋_GB2312" w:hAnsi="仿宋_GB2312" w:eastAsia="仿宋_GB2312" w:cs="仿宋_GB2312"/>
          <w:b/>
          <w:bCs/>
          <w:sz w:val="30"/>
          <w:szCs w:val="30"/>
          <w:lang w:val="en-US" w:eastAsia="zh-CN"/>
        </w:rPr>
        <w:t xml:space="preserve">7、供应商参加政府采购活动前3年内在经营活动中没有重大违法记录的书面声明</w:t>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我单位在参加</w:t>
      </w:r>
      <w:r>
        <w:rPr>
          <w:rFonts w:hint="eastAsia" w:ascii="仿宋_GB2312" w:hAnsi="仿宋_GB2312" w:eastAsia="仿宋_GB2312" w:cs="仿宋_GB2312"/>
          <w:sz w:val="24"/>
          <w:lang w:eastAsia="zh-CN"/>
        </w:rPr>
        <w:t xml:space="preserve">新沂市国土变更调查及日常变更调查项目</w:t>
      </w: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JSZC-320381-WYZJ-C2025-0023</w:t>
      </w:r>
      <w:r>
        <w:rPr>
          <w:rFonts w:hint="eastAsia" w:ascii="仿宋_GB2312" w:hAnsi="仿宋_GB2312" w:eastAsia="仿宋_GB2312" w:cs="仿宋_GB2312"/>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我单位对上述声明的真实性负责。如有虚假，将依法承担相应责任。</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法定代表人或授权代表（签字或盖章）：</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供应商名称：</w:t>
      </w:r>
      <w:r/>
    </w:p>
    <w:p>
      <w:pPr>
        <w:pStyle w:val="791"/>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pStyle w:val="791"/>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br w:type="page" w:clear="all"/>
      </w:r>
      <w:r>
        <w:rPr>
          <w:rFonts w:hint="eastAsia" w:ascii="仿宋_GB2312" w:hAnsi="仿宋_GB2312" w:eastAsia="仿宋_GB2312" w:cs="仿宋_GB2312"/>
          <w:b/>
          <w:bCs/>
          <w:sz w:val="30"/>
          <w:szCs w:val="30"/>
          <w:lang w:val="en-US" w:eastAsia="zh-CN"/>
        </w:rPr>
        <w:t xml:space="preserve">8、中小企业声明函</w:t>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项目名称：</w:t>
      </w:r>
      <w:r>
        <w:rPr>
          <w:rFonts w:hint="eastAsia" w:ascii="仿宋_GB2312" w:hAnsi="仿宋_GB2312" w:eastAsia="仿宋_GB2312" w:cs="仿宋_GB2312"/>
          <w:sz w:val="24"/>
          <w:lang w:eastAsia="zh-CN"/>
        </w:rPr>
        <w:t xml:space="preserve">新沂市国土变更调查及日常变更调查项目</w:t>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JSZC-320381-WYZJ-C2025-0023</w:t>
      </w:r>
      <w:r/>
    </w:p>
    <w:p>
      <w:pPr>
        <w:ind w:firstLine="472"/>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本公司（联合体）郑重声明，根据《政府采购促进中小企业发展管理办法》（财库﹝2020﹞46 号）的规定，本公司（联合体）参加</w:t>
      </w:r>
      <w:r>
        <w:rPr>
          <w:rFonts w:hint="eastAsia" w:ascii="仿宋_GB2312" w:hAnsi="仿宋_GB2312" w:eastAsia="仿宋_GB2312" w:cs="仿宋_GB2312"/>
          <w:sz w:val="24"/>
          <w:u w:val="single"/>
        </w:rPr>
        <w:t xml:space="preserve">（单位名称）</w:t>
      </w:r>
      <w:r>
        <w:rPr>
          <w:rFonts w:hint="eastAsia" w:ascii="仿宋_GB2312" w:hAnsi="仿宋_GB2312" w:eastAsia="仿宋_GB2312" w:cs="仿宋_GB2312"/>
          <w:sz w:val="24"/>
        </w:rPr>
        <w:t xml:space="preserve">的</w:t>
      </w:r>
      <w:r>
        <w:rPr>
          <w:rFonts w:hint="eastAsia" w:ascii="仿宋_GB2312" w:hAnsi="仿宋_GB2312" w:eastAsia="仿宋_GB2312" w:cs="仿宋_GB2312"/>
          <w:sz w:val="24"/>
          <w:u w:val="single"/>
        </w:rPr>
        <w:t xml:space="preserve">（项目名称）</w:t>
      </w:r>
      <w:r>
        <w:rPr>
          <w:rFonts w:hint="eastAsia" w:ascii="仿宋_GB2312" w:hAnsi="仿宋_GB2312" w:eastAsia="仿宋_GB2312" w:cs="仿宋_GB2312"/>
          <w:sz w:val="24"/>
        </w:rPr>
        <w:t xml:space="preserve">采购活动，服务全部由符合政策要求的中小企业承接。相关企业（含联合体中的中小企业、签订分包意向协议的中小企业）的具体情况如下：</w:t>
      </w:r>
      <w:r/>
    </w:p>
    <w:p>
      <w:pPr>
        <w:ind w:firstLine="472"/>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1.</w:t>
      </w:r>
      <w:r>
        <w:rPr>
          <w:rFonts w:hint="eastAsia" w:ascii="仿宋_GB2312" w:hAnsi="仿宋_GB2312" w:eastAsia="仿宋_GB2312" w:cs="仿宋_GB2312"/>
          <w:sz w:val="24"/>
          <w:u w:val="single"/>
        </w:rPr>
        <w:t xml:space="preserve">（标的名称）</w:t>
      </w:r>
      <w:r>
        <w:rPr>
          <w:rFonts w:hint="eastAsia" w:ascii="仿宋_GB2312" w:hAnsi="仿宋_GB2312" w:eastAsia="仿宋_GB2312" w:cs="仿宋_GB2312"/>
          <w:sz w:val="24"/>
        </w:rPr>
        <w:t xml:space="preserve"> ，属于</w:t>
      </w:r>
      <w:r>
        <w:rPr>
          <w:rFonts w:hint="eastAsia" w:ascii="仿宋_GB2312" w:hAnsi="仿宋_GB2312" w:eastAsia="仿宋_GB2312" w:cs="仿宋_GB2312"/>
          <w:sz w:val="24"/>
          <w:u w:val="single"/>
        </w:rPr>
        <w:t xml:space="preserve">（技术服务业）</w:t>
      </w:r>
      <w:r>
        <w:rPr>
          <w:rFonts w:hint="eastAsia" w:ascii="仿宋_GB2312" w:hAnsi="仿宋_GB2312" w:eastAsia="仿宋_GB2312" w:cs="仿宋_GB2312"/>
          <w:sz w:val="24"/>
        </w:rPr>
        <w:t xml:space="preserve">； 承建（承接）企业为</w:t>
      </w:r>
      <w:r>
        <w:rPr>
          <w:rFonts w:hint="eastAsia" w:ascii="仿宋_GB2312" w:hAnsi="仿宋_GB2312" w:eastAsia="仿宋_GB2312" w:cs="仿宋_GB2312"/>
          <w:sz w:val="24"/>
          <w:u w:val="single"/>
        </w:rPr>
        <w:t xml:space="preserve">（企业名称）</w:t>
      </w:r>
      <w:r>
        <w:rPr>
          <w:rFonts w:hint="eastAsia" w:ascii="仿宋_GB2312" w:hAnsi="仿宋_GB2312" w:eastAsia="仿宋_GB2312" w:cs="仿宋_GB2312"/>
          <w:sz w:val="24"/>
        </w:rPr>
        <w:t xml:space="preserve">，从业人员</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人，营业收入为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万元，资产总额为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万元 ，属于</w:t>
      </w:r>
      <w:r>
        <w:rPr>
          <w:rFonts w:hint="eastAsia" w:ascii="仿宋_GB2312" w:hAnsi="仿宋_GB2312" w:eastAsia="仿宋_GB2312" w:cs="仿宋_GB2312"/>
          <w:sz w:val="24"/>
          <w:u w:val="single"/>
        </w:rPr>
        <w:t xml:space="preserve">    （中型企业、 小型企业、微型企业）</w:t>
      </w:r>
      <w:r>
        <w:rPr>
          <w:rFonts w:hint="eastAsia" w:ascii="仿宋_GB2312" w:hAnsi="仿宋_GB2312" w:eastAsia="仿宋_GB2312" w:cs="仿宋_GB2312"/>
          <w:sz w:val="24"/>
        </w:rPr>
        <w:t xml:space="preserve">；</w:t>
      </w:r>
      <w:r/>
    </w:p>
    <w:p>
      <w:pPr>
        <w:ind w:firstLine="472"/>
        <w:rPr>
          <w:rFonts w:hint="eastAsia" w:ascii="仿宋_GB2312" w:hAnsi="仿宋_GB2312" w:eastAsia="仿宋_GB2312" w:cs="仿宋_GB2312"/>
          <w:sz w:val="24"/>
        </w:rPr>
      </w:pPr>
      <w:r>
        <w:rPr>
          <w:rFonts w:hint="eastAsia" w:ascii="仿宋_GB2312" w:hAnsi="仿宋_GB2312" w:eastAsia="仿宋_GB2312" w:cs="仿宋_GB2312"/>
          <w:b/>
          <w:sz w:val="24"/>
        </w:rPr>
        <w:t xml:space="preserve">.........</w:t>
      </w:r>
      <w:r>
        <w:rPr>
          <w:rFonts w:hint="eastAsia" w:ascii="仿宋_GB2312" w:hAnsi="仿宋_GB2312" w:eastAsia="仿宋_GB2312" w:cs="仿宋_GB2312"/>
          <w:sz w:val="24"/>
        </w:rPr>
        <w:t xml:space="preserve"> </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以上企业，不属于大企业的分支机构，不存在控股股东 为大企业的情形，也不存在与大企业的负责人为同一人的情形。 </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本企业对上述声明内容的真实性负责。如有虚假，将依法承担相应责任。 </w:t>
      </w:r>
      <w:r/>
    </w:p>
    <w:p>
      <w:pPr>
        <w:jc w:val="cente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企业名称（</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 </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                                                日 期：   年  月  日</w:t>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spacing w:before="100" w:beforeAutospacing="1" w:after="100" w:afterAutospacing="1"/>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说明：如提供虚假中小企业声明函的，则采购人有权取消投标、中标候选或中标资格，有权终止合同，并报政府采购监管部门。</w:t>
      </w:r>
      <w:r/>
    </w:p>
    <w:p>
      <w:pPr>
        <w:jc w:val="center"/>
        <w:rPr>
          <w:rStyle w:val="963"/>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791"/>
        <w:rPr>
          <w:rFonts w:hint="eastAsia" w:ascii="仿宋_GB2312" w:hAnsi="仿宋_GB2312" w:eastAsia="仿宋_GB2312" w:cs="仿宋_GB2312"/>
        </w:rPr>
      </w:pPr>
      <w:r>
        <w:rPr>
          <w:rFonts w:hint="eastAsia" w:ascii="仿宋_GB2312" w:hAnsi="仿宋_GB2312" w:eastAsia="仿宋_GB2312" w:cs="仿宋_GB2312"/>
        </w:rPr>
      </w:r>
      <w:r/>
    </w:p>
    <w:p>
      <w:pPr>
        <w:rPr>
          <w:rFonts w:hint="eastAsia" w:ascii="仿宋_GB2312" w:hAnsi="仿宋_GB2312" w:eastAsia="仿宋_GB2312" w:cs="仿宋_GB2312"/>
          <w:color w:val="333333"/>
          <w:spacing w:val="8"/>
          <w:sz w:val="33"/>
          <w:szCs w:val="33"/>
          <w:shd w:val="clear" w:color="auto" w:fill="ffffff"/>
        </w:rPr>
      </w:pPr>
      <w:r>
        <w:rPr>
          <w:rFonts w:hint="eastAsia" w:ascii="仿宋_GB2312" w:hAnsi="仿宋_GB2312" w:eastAsia="仿宋_GB2312" w:cs="仿宋_GB2312"/>
          <w:color w:val="333333"/>
          <w:spacing w:val="8"/>
          <w:sz w:val="33"/>
          <w:szCs w:val="33"/>
          <w:shd w:val="clear" w:color="auto" w:fill="ffffff"/>
        </w:rPr>
        <w:br w:type="page" w:clear="all"/>
      </w:r>
      <w:r/>
    </w:p>
    <w:p>
      <w:pPr>
        <w:pStyle w:val="957"/>
        <w:jc w:val="center"/>
        <w:keepLines w:val="0"/>
        <w:keepNext w:val="0"/>
        <w:spacing w:before="0" w:after="210" w:line="21" w:lineRule="atLeast"/>
        <w:shd w:val="clear" w:color="auto" w:fill="ffffff"/>
        <w:widowControl/>
        <w:rPr>
          <w:rFonts w:hint="eastAsia" w:ascii="仿宋_GB2312" w:hAnsi="仿宋_GB2312" w:eastAsia="仿宋_GB2312" w:cs="仿宋_GB2312"/>
          <w:color w:val="333333"/>
          <w:spacing w:val="8"/>
          <w:sz w:val="33"/>
          <w:szCs w:val="33"/>
        </w:rPr>
      </w:pPr>
      <w:r>
        <w:rPr>
          <w:rFonts w:hint="eastAsia" w:ascii="仿宋_GB2312" w:hAnsi="仿宋_GB2312" w:eastAsia="仿宋_GB2312" w:cs="仿宋_GB2312"/>
          <w:color w:val="333333"/>
          <w:spacing w:val="8"/>
          <w:sz w:val="33"/>
          <w:szCs w:val="33"/>
          <w:shd w:val="clear" w:color="auto" w:fill="ffffff"/>
        </w:rPr>
        <w:t xml:space="preserve">中小企业规模类型自测小程序</w:t>
      </w:r>
      <w:r/>
    </w:p>
    <w:p>
      <w:pPr>
        <w:pStyle w:val="968"/>
        <w:rPr>
          <w:rFonts w:hint="eastAsia" w:ascii="仿宋_GB2312" w:hAnsi="仿宋_GB2312" w:eastAsia="仿宋_GB2312" w:cs="仿宋_GB2312"/>
          <w:sz w:val="24"/>
        </w:rPr>
      </w:pPr>
      <w:r>
        <w:rPr>
          <w:rFonts w:hint="eastAsia" w:ascii="仿宋_GB2312" w:hAnsi="仿宋_GB2312" w:eastAsia="仿宋_GB2312" w:cs="仿宋_GB2312"/>
          <w:sz w:val="24"/>
        </w:rPr>
      </w:r>
      <w:r/>
    </w:p>
    <w:p>
      <w:pPr>
        <w:pStyle w:val="968"/>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mc:AlternateContent>
          <mc:Choice Requires="wpg">
            <w:drawing>
              <wp:inline xmlns:wp="http://schemas.openxmlformats.org/drawingml/2006/wordprocessingDrawing" distT="0" distB="0" distL="0" distR="0">
                <wp:extent cx="3925570" cy="7449185"/>
                <wp:effectExtent l="0" t="0" r="17780" b="18415"/>
                <wp:docPr id="8" name="图片 7" descr="898e320ffa36eb8f181be2128c738d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898e320ffa36eb8f181be2128c738d52"/>
                        <pic:cNvPicPr>
                          <a:picLocks noChangeAspect="1"/>
                        </pic:cNvPicPr>
                        <pic:nvPr/>
                      </pic:nvPicPr>
                      <pic:blipFill>
                        <a:blip r:embed="rId17"/>
                        <a:srcRect l="0" t="10640" r="0" b="2018"/>
                        <a:stretch/>
                      </pic:blipFill>
                      <pic:spPr bwMode="auto">
                        <a:xfrm>
                          <a:off x="0" y="0"/>
                          <a:ext cx="3925569" cy="74491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09.1pt;height:586.5pt;mso-wrap-distance-left:0.0pt;mso-wrap-distance-top:0.0pt;mso-wrap-distance-right:0.0pt;mso-wrap-distance-bottom:0.0pt;" stroked="false">
                <v:path textboxrect="0,0,0,0"/>
                <v:imagedata r:id="rId17" o:title=""/>
              </v:shape>
            </w:pict>
          </mc:Fallback>
        </mc:AlternateContent>
      </w:r>
      <w:r/>
    </w:p>
    <w:p>
      <w:pPr>
        <w:pStyle w:val="968"/>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both"/>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9、残疾人福利性单位声明函</w:t>
      </w:r>
      <w:r/>
    </w:p>
    <w:p>
      <w:pPr>
        <w:spacing w:line="400" w:lineRule="exact"/>
        <w:rPr>
          <w:rFonts w:hint="eastAsia" w:ascii="仿宋_GB2312" w:hAnsi="仿宋_GB2312" w:eastAsia="仿宋_GB2312" w:cs="仿宋_GB2312"/>
          <w:b/>
          <w:sz w:val="24"/>
        </w:rPr>
      </w:pPr>
      <w:r>
        <w:rPr>
          <w:rFonts w:hint="eastAsia" w:ascii="仿宋_GB2312" w:hAnsi="仿宋_GB2312" w:eastAsia="仿宋_GB2312" w:cs="仿宋_GB2312"/>
          <w:b/>
          <w:sz w:val="24"/>
        </w:rPr>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项目名称：</w:t>
      </w:r>
      <w:r>
        <w:rPr>
          <w:rFonts w:hint="eastAsia" w:ascii="仿宋_GB2312" w:hAnsi="仿宋_GB2312" w:eastAsia="仿宋_GB2312" w:cs="仿宋_GB2312"/>
          <w:sz w:val="24"/>
          <w:lang w:eastAsia="zh-CN"/>
        </w:rPr>
        <w:t xml:space="preserve">新沂市国土变更调查及日常变更调查项目</w:t>
      </w:r>
      <w:r/>
    </w:p>
    <w:p>
      <w:pPr>
        <w:ind w:firstLine="472"/>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JSZC-320381-WYZJ-C2025-0023</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单位的</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项目采购活动提供本单位制造的货物（由本单位承担工程/提供服务），或者提供其他残疾人福利性单位制造的货物（不包括使用非残疾人福利性单位注册商标的货物）。</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本单位对上述声明的真实性负责。如有虚假，将依法承担相应责任。</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法定代表人或授权代表（签字或盖章）：</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72"/>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年  月  日</w:t>
      </w:r>
      <w:r/>
    </w:p>
    <w:p>
      <w:pPr>
        <w:pStyle w:val="957"/>
        <w:rPr>
          <w:rFonts w:hint="eastAsia" w:ascii="仿宋_GB2312" w:hAnsi="仿宋_GB2312" w:eastAsia="仿宋_GB2312" w:cs="仿宋_GB2312"/>
          <w:sz w:val="24"/>
        </w:rPr>
      </w:pPr>
      <w:r>
        <w:rPr>
          <w:rFonts w:hint="eastAsia" w:ascii="仿宋_GB2312" w:hAnsi="仿宋_GB2312" w:eastAsia="仿宋_GB2312" w:cs="仿宋_GB2312"/>
          <w:sz w:val="24"/>
        </w:rPr>
      </w:r>
      <w:r/>
    </w:p>
    <w:p>
      <w:pPr>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center"/>
        <w:rPr>
          <w:rFonts w:hint="eastAsia" w:ascii="仿宋_GB2312" w:hAnsi="仿宋_GB2312" w:eastAsia="仿宋_GB2312" w:cs="仿宋_GB2312"/>
          <w:sz w:val="24"/>
        </w:rPr>
      </w:pPr>
      <w:r>
        <w:rPr>
          <w:rFonts w:hint="eastAsia" w:ascii="仿宋_GB2312" w:hAnsi="仿宋_GB2312" w:eastAsia="仿宋_GB2312" w:cs="仿宋_GB2312"/>
          <w:sz w:val="24"/>
        </w:rPr>
        <w:br w:type="page" w:clear="all"/>
      </w:r>
      <w:r>
        <w:rPr>
          <w:rFonts w:hint="eastAsia" w:ascii="仿宋_GB2312" w:hAnsi="仿宋_GB2312" w:eastAsia="仿宋_GB2312" w:cs="仿宋_GB2312"/>
          <w:b/>
          <w:bCs/>
          <w:sz w:val="30"/>
          <w:szCs w:val="30"/>
          <w:lang w:val="en-US" w:eastAsia="zh-CN"/>
        </w:rPr>
        <w:t xml:space="preserve">10、方案</w:t>
      </w:r>
      <w:r/>
    </w:p>
    <w:p>
      <w:pPr>
        <w:pStyle w:val="971"/>
        <w:ind w:left="1275" w:firstLine="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71"/>
        <w:ind w:left="0" w:firstLine="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cs="仿宋_GB2312"/>
          <w:sz w:val="28"/>
          <w:szCs w:val="28"/>
          <w:lang w:eastAsia="zh-CN"/>
        </w:rPr>
        <w:t xml:space="preserve">参照评分细则，格式自拟</w:t>
      </w:r>
      <w:r>
        <w:rPr>
          <w:rFonts w:hint="eastAsia" w:ascii="仿宋_GB2312" w:hAnsi="仿宋_GB2312" w:eastAsia="仿宋_GB2312" w:cs="仿宋_GB2312"/>
          <w:sz w:val="28"/>
          <w:szCs w:val="28"/>
        </w:rPr>
        <w:t xml:space="preserve">）</w:t>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pStyle w:val="971"/>
        <w:ind w:left="1275" w:firstLine="0"/>
        <w:rPr>
          <w:rFonts w:hint="eastAsia" w:ascii="仿宋_GB2312" w:hAnsi="仿宋_GB2312" w:eastAsia="仿宋_GB2312" w:cs="仿宋_GB2312"/>
        </w:rPr>
      </w:pPr>
      <w:r>
        <w:rPr>
          <w:rFonts w:hint="eastAsia" w:ascii="仿宋_GB2312" w:hAnsi="仿宋_GB2312" w:eastAsia="仿宋_GB2312" w:cs="仿宋_GB2312"/>
        </w:rPr>
      </w:r>
      <w:r/>
    </w:p>
    <w:p>
      <w:pPr>
        <w:jc w:val="both"/>
        <w:rPr>
          <w:rFonts w:hint="eastAsia" w:ascii="仿宋_GB2312" w:hAnsi="仿宋_GB2312" w:eastAsia="仿宋_GB2312" w:cs="仿宋_GB2312"/>
          <w:b/>
          <w:sz w:val="24"/>
        </w:rPr>
      </w:pPr>
      <w:r>
        <w:rPr>
          <w:rFonts w:hint="eastAsia" w:ascii="仿宋_GB2312" w:hAnsi="仿宋_GB2312" w:eastAsia="仿宋_GB2312" w:cs="仿宋_GB2312"/>
          <w:b/>
          <w:sz w:val="24"/>
        </w:rPr>
      </w:r>
      <w:r/>
    </w:p>
    <w:p>
      <w:pP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br w:type="page" w:clear="all"/>
      </w:r>
      <w:r/>
    </w:p>
    <w:p>
      <w:pPr>
        <w:numPr>
          <w:ilvl w:val="0"/>
          <w:numId w:val="3"/>
        </w:num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合同草案条款</w:t>
      </w:r>
      <w:r/>
    </w:p>
    <w:p>
      <w:pPr>
        <w:pStyle w:val="724"/>
        <w:numPr>
          <w:ilvl w:val="0"/>
          <w:numId w:val="0"/>
        </w:numPr>
        <w:ind w:left="880" w:right="6"/>
        <w:rPr>
          <w:rFonts w:hint="eastAsia"/>
          <w:lang w:val="en-US" w:eastAsia="zh-CN"/>
        </w:rPr>
      </w:pPr>
      <w:r>
        <w:rPr>
          <w:rFonts w:hint="eastAsia"/>
          <w:lang w:val="en-US" w:eastAsia="zh-CN"/>
        </w:rPr>
      </w:r>
      <w:r/>
    </w:p>
    <w:p>
      <w:pPr>
        <w:spacing w:line="400" w:lineRule="exact"/>
        <w:rPr>
          <w:rFonts w:hint="eastAsia" w:ascii="仿宋_GB2312" w:hAnsi="仿宋_GB2312" w:eastAsia="仿宋_GB2312" w:cs="仿宋_GB2312"/>
        </w:rPr>
      </w:pPr>
      <w:r>
        <w:rPr>
          <w:rFonts w:hint="eastAsia" w:ascii="仿宋_GB2312" w:hAnsi="仿宋_GB2312" w:eastAsia="仿宋_GB2312" w:cs="仿宋_GB2312"/>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合同编号：</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pStyle w:val="788"/>
        <w:jc w:val="center"/>
        <w:rPr>
          <w:rFonts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政府采购合同</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项目名称：                               </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委托方（甲方）：                              </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受托方（乙方）：                    </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签订地点：</w:t>
      </w:r>
      <w:r/>
    </w:p>
    <w:p>
      <w:pPr>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签订日期：   年   月  日</w:t>
      </w:r>
      <w:r/>
    </w:p>
    <w:p>
      <w:pPr>
        <w:pStyle w:val="786"/>
        <w:keepLines w:val="0"/>
        <w:keepNext w:val="0"/>
        <w:pageBreakBefore w:val="0"/>
        <w:spacing w:line="400" w:lineRule="exact"/>
        <w:widowControl w:val="off"/>
        <w:rPr>
          <w:rFonts w:hint="eastAsia" w:ascii="仿宋_GB2312" w:hAnsi="仿宋_GB2312" w:eastAsia="仿宋_GB2312" w:cs="仿宋_GB2312"/>
          <w:color w:val="000000"/>
          <w:sz w:val="24"/>
        </w:rPr>
        <w:outlineLvl w:val="9"/>
      </w:pPr>
      <w:r>
        <w:rPr>
          <w:rFonts w:hint="eastAsia" w:ascii="仿宋_GB2312" w:hAnsi="仿宋_GB2312" w:eastAsia="仿宋_GB2312" w:cs="仿宋_GB2312"/>
          <w:color w:val="000000"/>
          <w:sz w:val="24"/>
        </w:rPr>
        <w:t xml:space="preserve">有效期限：   年   月  日至    年  月  日</w:t>
      </w:r>
      <w:r/>
    </w:p>
    <w:p>
      <w:pPr>
        <w:pStyle w:val="786"/>
        <w:keepLines w:val="0"/>
        <w:keepNext w:val="0"/>
        <w:pageBreakBefore w:val="0"/>
        <w:spacing w:line="400" w:lineRule="exact"/>
        <w:widowControl w:val="off"/>
        <w:rPr>
          <w:rFonts w:hint="eastAsia" w:ascii="仿宋_GB2312" w:hAnsi="仿宋_GB2312" w:eastAsia="仿宋_GB2312" w:cs="仿宋_GB2312"/>
          <w:color w:val="000000"/>
          <w:sz w:val="24"/>
        </w:rPr>
        <w:outlineLvl w:val="9"/>
      </w:pPr>
      <w:r>
        <w:rPr>
          <w:rFonts w:hint="eastAsia" w:ascii="仿宋_GB2312" w:hAnsi="仿宋_GB2312" w:eastAsia="仿宋_GB2312" w:cs="仿宋_GB2312"/>
          <w:color w:val="000000"/>
          <w:sz w:val="24"/>
        </w:rPr>
      </w:r>
      <w:r/>
    </w:p>
    <w:p>
      <w:pPr>
        <w:pStyle w:val="786"/>
        <w:keepLines w:val="0"/>
        <w:keepNext w:val="0"/>
        <w:pageBreakBefore w:val="0"/>
        <w:spacing w:line="400" w:lineRule="exact"/>
        <w:widowControl w:val="off"/>
        <w:rPr>
          <w:rFonts w:hint="eastAsia" w:ascii="仿宋_GB2312" w:hAnsi="仿宋_GB2312" w:eastAsia="仿宋_GB2312" w:cs="仿宋_GB2312"/>
          <w:color w:val="000000"/>
          <w:sz w:val="24"/>
        </w:rPr>
        <w:outlineLvl w:val="9"/>
      </w:pPr>
      <w:r>
        <w:rPr>
          <w:rFonts w:hint="eastAsia" w:ascii="仿宋_GB2312" w:hAnsi="仿宋_GB2312" w:eastAsia="仿宋_GB2312" w:cs="仿宋_GB2312"/>
          <w:color w:val="000000"/>
          <w:sz w:val="24"/>
        </w:rPr>
      </w:r>
      <w:r/>
    </w:p>
    <w:p>
      <w:pPr>
        <w:pStyle w:val="786"/>
        <w:ind w:firstLine="480"/>
        <w:keepLines w:val="0"/>
        <w:keepNext w:val="0"/>
        <w:pageBreakBefore w:val="0"/>
        <w:spacing w:line="400" w:lineRule="exact"/>
        <w:widowControl w:val="off"/>
        <w:rPr>
          <w:rFonts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786"/>
        <w:ind w:firstLine="562"/>
        <w:keepLines w:val="0"/>
        <w:keepNext w:val="0"/>
        <w:pageBreakBefore w:val="0"/>
        <w:spacing w:line="400" w:lineRule="exact"/>
        <w:widowControl w:val="off"/>
        <w:rPr>
          <w:rFonts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86"/>
        <w:ind w:firstLine="480"/>
        <w:keepLines w:val="0"/>
        <w:keepNext w:val="0"/>
        <w:pageBreakBefore w:val="0"/>
        <w:spacing w:line="400" w:lineRule="exact"/>
        <w:widowControl w:val="off"/>
        <w:rPr>
          <w:rFonts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本合同买方委托卖方就</w:t>
      </w:r>
      <w:r>
        <w:rPr>
          <w:rFonts w:hint="eastAsia" w:ascii="仿宋" w:hAnsi="仿宋" w:eastAsia="仿宋" w:cs="仿宋"/>
          <w:color w:val="auto"/>
          <w:sz w:val="24"/>
          <w:szCs w:val="24"/>
          <w:highlight w:val="none"/>
          <w:lang w:eastAsia="zh-CN"/>
        </w:rPr>
        <w:t xml:space="preserve">新沂市国土变更调查及日常变更调查项目</w:t>
      </w:r>
      <w:r>
        <w:rPr>
          <w:rFonts w:hint="eastAsia" w:ascii="仿宋" w:hAnsi="仿宋" w:eastAsia="仿宋" w:cs="仿宋"/>
          <w:color w:val="auto"/>
          <w:sz w:val="24"/>
          <w:szCs w:val="24"/>
          <w:highlight w:val="none"/>
        </w:rPr>
        <w:t xml:space="preserve">进行安全技术服务，并支付相应技术服务报酬。双方经过平等协商，在真实、充分地表达各自意愿的基础上，根据《中华人民共和国政府采购法》、《中华人民共和国民法典》的规定，达成如下协议，并由双方共同恪守。</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rPr>
          <w:rFonts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合同通用条款</w:t>
      </w:r>
      <w:r/>
    </w:p>
    <w:p>
      <w:pPr>
        <w:ind w:firstLine="560"/>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目录</w:t>
      </w:r>
      <w:r/>
    </w:p>
    <w:p>
      <w:pPr>
        <w:ind w:firstLine="56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定义</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合同范围</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价格</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支付</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交货</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包装和标记</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技术资料</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安装</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验收</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第十条    售后服务和技术培训</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第十一条  索赔</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第十二条  不可抗力</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第十三条  合同的终止</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第十四条  争议的解决</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第十五条  适用法律</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第十六条  权利保证</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第十七条  保密</w:t>
      </w:r>
      <w:r/>
    </w:p>
    <w:p>
      <w:pPr>
        <w:ind w:firstLine="4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第十八条  合同生效及其他</w:t>
      </w:r>
      <w:r/>
    </w:p>
    <w:p>
      <w:pPr>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spacing w:line="520" w:lineRule="exact"/>
        <w:rPr>
          <w:rStyle w:val="1042"/>
          <w:rFonts w:ascii="仿宋" w:hAnsi="仿宋" w:eastAsia="仿宋" w:cs="仿宋"/>
          <w:color w:val="auto"/>
          <w:highlight w:val="none"/>
        </w:rPr>
      </w:pPr>
      <w:r>
        <w:rPr>
          <w:rFonts w:hint="eastAsia" w:ascii="仿宋" w:hAnsi="仿宋" w:eastAsia="仿宋" w:cs="仿宋"/>
          <w:color w:val="auto"/>
          <w:sz w:val="24"/>
          <w:highlight w:val="none"/>
        </w:rPr>
        <w:br w:type="page" w:clear="all"/>
      </w:r>
      <w:r>
        <w:rPr>
          <w:rStyle w:val="1042"/>
          <w:rFonts w:hint="eastAsia" w:ascii="仿宋" w:hAnsi="仿宋" w:eastAsia="仿宋" w:cs="仿宋"/>
          <w:color w:val="auto"/>
          <w:highlight w:val="none"/>
        </w:rPr>
        <w:t xml:space="preserve">合同通用条款</w:t>
      </w:r>
      <w:r/>
    </w:p>
    <w:p>
      <w:pPr>
        <w:ind w:firstLine="480"/>
        <w:spacing w:line="52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第一条  定义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除本合同上下文中另有规定外，下列各词语定义如下：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1.1“买方”见《合同专用条款》。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1.2“卖方”见《合同专用条款》。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1.3“工作现场”见《合同专用条款》。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1.4“合同标的”见合同附件4。</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1.5“技术资料”是指与合同标的的安装、试运行、验收、操作以及维修有关的技术指标、规格、图纸和文件。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1.6“技术培训”是指在合同标的的安装、试运行、验收、操作、维修以及其他方面卖方给予买方的培训。</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1.7“安装”是指有关合同标的、备件和材料的安装工作。</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1.8“试运行”是指为验明合同标的的技术性能，在安装完毕后对合同标的进行的测试。</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1.9“验收”是指根据合同附件的规定进行的，用以确定合同标的是否达到合同附件2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1.10“合同货币”见《合同专用条款》。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1.11“合同价格”见合同附件。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1.12“合同生效日”见《合同协议书》。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1.13“日”是指日历天数。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1.14“月”是指日历月数。</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第二条 合同范围</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2.1买方同意从卖方购买、卖方同意向买方出售和提供的合同标的以及相关售后服务、技术培训和技术资料。</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第三条 价格</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 合同总价见《合同专用条款》。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3.2 合同总价是固定价格。</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第四条 支付</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4.2卖方有义务根据合同的规定向买方支付违约金和/或赔偿金时，买方有权从任何一笔应付款中予以扣除。</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第五条 服务周期</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5.1服务周期和交付条件见《合同专用条款》。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5.2交付地点见《合同专用条款》。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5.3在《合同专用条款》规定的期限内，卖方应将合同号、合同标的的名称、数量、件数以及交付的时间以书面方式通知买方。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5.4卖方应按下列规定交付合同标的：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5.4.1卖方负责将合同标的送至《合同专用条款》规定的交货地点。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5.4.2买方出具的收据日期是合同标的的实际交货日期。</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5.5如果卖方未能按照合同规定的服务期限交付，卖方应按《合同专用条款》的规定支付违约金或提供其他救济。</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第六条 包装与标记</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6.1除非合同中另有规定，合同标的应保持产品制造企业原包装完好。</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6.2在合同标的的每件包装中都应附有下列单据：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 装箱明细单；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 质量合格证；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C. 技术资料。</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第七条 技术资料</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7.1 技术资料交付的期限和方式见《合同专用条款》。</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第八条 交付</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8.1 合同标的的交付期限见《合同专用条款》。</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第九条 验收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9.1合同标的的试运行、验收见《合同专用条款》。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9.2如果合同附件2 所规定的所有技术性能在验收中都已经达到，双方应在验收合格后5 日内签署验收书。</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9.3买方派出1-3名技术人员参加项目实施，卖方应积极配合买方派出的1-3名技术人员监督管理。</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第十条 售后服务和技术培训</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10.1售后服务和技术培训见合同附件3。</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第十一条 违约责任</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11.1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11.2卖方保证所提供产品符合技术要求，并兑现质量保证。如验收未通过，卖方应赔偿买方损失。</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11.3卖方应按期交付产品。如未能如期交付，视为违约，且从第二天起每延迟一天按合同总价的1‰计算违约金，从合同总价款中扣除。支付违约金后仍应履行合同义务。</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第十二条 不可抗力</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12.4如一方迟延通知，给合同相对方造成损失扩大的，迟延通知方应对相对方损失扩大部分承担赔偿责任。</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12.5受不可抗力影响的一方当事人应采取合理措施避免或降低不可抗力给合同对方带来的损失扩大，如未采取措施造成合同相对方损失扩大的，遭受不可抗力方的当事人应就损失扩大部分赔偿合同相对方的损失。</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第十三条 合同的终止</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 卖方在合同规定的交付期限后未能按《合同专用条款》中规定的最终期限交付合同标的和/或技术资料；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 合同标的未能达到合同附件2 规定的技术性能；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C. 卖方未能履行合同项下任何其它义务，并且在收到买方违约通知后未能按《合同专用条款》中规定的期限对其违约行为作出补救。</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13.3如果买方认定卖方在投标或执行合同中有腐败或欺诈行为,买方有权在任何时候发出书面通知终止合同。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A.“腐败行为”系指在招标、采购和合同执行等过程中，为谋求利益、影响相关人员而提供、给予、接受或索取任何有价物的行为。</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B.“欺诈行为”系指为了影响招标、采购和合同执行等过程而隐瞒事实，从而给买方造成损害的行为，其中包括供应商之间的串通行为。</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13.4 在买方全部或部分终止合同的情况下，卖方应按《合同专用条款》的规定对买方给予补偿。</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第十四条 争议的解决</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14.1 因执行本合同所发生的或者与本合同有关的一切争议由合同双方通过友好协商解决，如果不能协商一致，按《合同专用条款》规定的方式解决。</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第十五条 适用法律</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15.1 本合同的执行和争议的解决适用中华人民共和国的法律并按中华人民共和国的法律进行解释。</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第十六条  权利保证</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16.1卖方应保证买方在使用合同标的时不受第三方提出侵犯其专利权、版权、商标权或其他权利的起诉。一旦出现侵权，卖方承担全部责任。</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第十七条  保密 </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17.2上述秘密，卖方只能用于本合同，而且只能由卖方相应的人员使用；没有必要接触的卖方人员，不得接触。</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17.3卖方应当采取适当有效的方式保护所获取的上述秘密。</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第十八条 合同生效及其他</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18.1 本合同在合同协议书（合同附件1）规定的条件全部满足后生效。</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18.3 合同双方各自承担与本合同有关的应负税费。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18.4合同双方除非《合同专用条款》另有规定，所有合同文件及相关的修订和合同双方之间的书面联络，应使用中文书就并按中文解释。</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18.5对本合同的任何补充、增添或修改以书面方式进行。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18.6没有另一方的事先书面同意，合同任何一方不得将合同项下的任何权利和义务转让给第三方。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18.8合同条款中的标题和边注仅供参考使用，不应视为合同的一部分，也不影响本文的解释。</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18.10合同双方之间的一切联络往来应以书面形式按《合同专用条款》中规定的通讯地址发往合同另一方。有关重要事项的传真应及时用挂号信或快件确认。</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第十九条 通知和送达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19.1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19.2.1采用面呈传递时，被通知人(含其法定代表人、约定收件人、雇员或代理人，下同)签收视为送达。若被通知人拒绝签收的，通知留置被通知人通讯地址处视为送达。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19.3上述通讯地址和联系方式适用至本合同履行完毕或争议经过一审、二审至案件执行终结时止，除非双方依下款告知变更。</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19.4任何-方通讯地址、 收件人或联系电话需要变更的，应提前5个工作日向合同其他方和司法机关送交书面变更告知书(若争议已经进入司法程序解决)。否则，因此而导致的通知迟延或不能送达的后果，均由变更方承担。因一方在本合同中载明的或</w:t>
      </w:r>
      <w:r>
        <w:rPr>
          <w:rFonts w:hint="eastAsia" w:ascii="仿宋" w:hAnsi="仿宋" w:eastAsia="仿宋" w:cs="仿宋"/>
          <w:b w:val="0"/>
          <w:bCs w:val="0"/>
          <w:color w:val="auto"/>
          <w:sz w:val="24"/>
          <w:highlight w:val="none"/>
        </w:rPr>
        <w:t xml:space="preserve">书面</w:t>
      </w:r>
      <w:r>
        <w:rPr>
          <w:rFonts w:hint="eastAsia" w:ascii="仿宋" w:hAnsi="仿宋" w:eastAsia="仿宋" w:cs="仿宋"/>
          <w:color w:val="auto"/>
          <w:sz w:val="24"/>
          <w:highlight w:val="none"/>
        </w:rPr>
        <w:t xml:space="preserve">通知变更后的通讯地址、收件人或联系方式不详，导致通知迟延或不能送达的后果，由该方自行承担。</w:t>
      </w:r>
      <w:r/>
    </w:p>
    <w:p>
      <w:pPr>
        <w:ind w:firstLine="24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19.5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ind w:firstLine="240"/>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12"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540"/>
        <w:spacing w:line="312"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540"/>
        <w:spacing w:line="312"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706"/>
        <w:ind w:left="0" w:firstLine="0"/>
        <w:jc w:val="center"/>
        <w:rPr>
          <w:rFonts w:ascii="仿宋" w:hAnsi="仿宋" w:eastAsia="仿宋" w:cs="仿宋"/>
          <w:color w:val="auto"/>
          <w:sz w:val="24"/>
          <w:highlight w:val="none"/>
        </w:rPr>
      </w:pPr>
      <w:r>
        <w:rPr>
          <w:rFonts w:hint="eastAsia" w:ascii="仿宋" w:hAnsi="仿宋" w:eastAsia="仿宋" w:cs="仿宋"/>
          <w:color w:val="auto"/>
          <w:highlight w:val="none"/>
        </w:rPr>
        <w:t xml:space="preserve">合同专用条款</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第一条 定义</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 “买方”为</w:t>
      </w:r>
      <w:r>
        <w:rPr>
          <w:rFonts w:hint="eastAsia" w:ascii="仿宋" w:hAnsi="仿宋" w:eastAsia="仿宋" w:cs="仿宋"/>
          <w:color w:val="auto"/>
          <w:sz w:val="24"/>
          <w:highlight w:val="none"/>
          <w:u w:val="single"/>
          <w:lang w:eastAsia="zh-CN"/>
        </w:rPr>
        <w:t xml:space="preserve">新沂市自然资源和规划局</w:t>
      </w:r>
      <w:r>
        <w:rPr>
          <w:rFonts w:hint="eastAsia" w:ascii="仿宋" w:hAnsi="仿宋" w:eastAsia="仿宋" w:cs="仿宋"/>
          <w:color w:val="auto"/>
          <w:sz w:val="24"/>
          <w:highlight w:val="none"/>
        </w:rPr>
        <w:t xml:space="preserve">。</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 “卖方”为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 “工作现场”为</w:t>
      </w:r>
      <w:r>
        <w:rPr>
          <w:rFonts w:hint="eastAsia" w:ascii="仿宋" w:hAnsi="仿宋" w:eastAsia="仿宋" w:cs="仿宋"/>
          <w:color w:val="auto"/>
          <w:sz w:val="24"/>
          <w:highlight w:val="none"/>
          <w:u w:val="single"/>
        </w:rPr>
        <w:t xml:space="preserve">买方指定地点</w:t>
      </w:r>
      <w:r>
        <w:rPr>
          <w:rFonts w:hint="eastAsia" w:ascii="仿宋" w:hAnsi="仿宋" w:eastAsia="仿宋" w:cs="仿宋"/>
          <w:color w:val="auto"/>
          <w:sz w:val="24"/>
          <w:highlight w:val="none"/>
        </w:rPr>
        <w:t xml:space="preserve">。</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1.10 “合同货币”即</w:t>
      </w:r>
      <w:r>
        <w:rPr>
          <w:rFonts w:hint="eastAsia" w:ascii="仿宋" w:hAnsi="仿宋" w:eastAsia="仿宋" w:cs="仿宋"/>
          <w:color w:val="auto"/>
          <w:sz w:val="24"/>
          <w:highlight w:val="none"/>
          <w:u w:val="single"/>
        </w:rPr>
        <w:t xml:space="preserve">人民币</w:t>
      </w:r>
      <w:r>
        <w:rPr>
          <w:rFonts w:hint="eastAsia" w:ascii="仿宋" w:hAnsi="仿宋" w:eastAsia="仿宋" w:cs="仿宋"/>
          <w:color w:val="auto"/>
          <w:sz w:val="24"/>
          <w:highlight w:val="none"/>
        </w:rPr>
        <w:t xml:space="preserve">。</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第二条 合同范围</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2.1买方同意从卖方购买、卖方同意向买方出售的合同标的是</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。详见合同附件。</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第三条 价格</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3.1合同总价为￥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第四条 支付</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4.1结算金额的计算方式</w:t>
      </w:r>
      <w:r/>
    </w:p>
    <w:p>
      <w:pPr>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付款方式：</w:t>
      </w:r>
      <w:r/>
    </w:p>
    <w:p>
      <w:pPr>
        <w:ind w:firstLine="480"/>
        <w:spacing w:line="312" w:lineRule="auto"/>
        <w:rPr>
          <w:rFonts w:hint="eastAsia" w:ascii="仿宋" w:hAnsi="仿宋" w:eastAsia="仿宋" w:cs="仿宋"/>
          <w:color w:val="auto"/>
          <w:sz w:val="24"/>
          <w:highlight w:val="yellow"/>
        </w:rPr>
      </w:pPr>
      <w:r>
        <w:rPr>
          <w:rFonts w:hint="eastAsia" w:ascii="仿宋" w:hAnsi="仿宋" w:eastAsia="仿宋" w:cs="仿宋"/>
          <w:color w:val="auto"/>
          <w:sz w:val="24"/>
          <w:highlight w:val="none"/>
        </w:rPr>
        <w:t xml:space="preserve">合同签订后，支付本合同总价的40%,即</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万元 ，大写：</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日前，支付本合同总价的50%,即</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万元，大写：</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；项目成果</w:t>
      </w:r>
      <w:r>
        <w:rPr>
          <w:rFonts w:hint="eastAsia" w:ascii="仿宋" w:hAnsi="仿宋" w:eastAsia="仿宋" w:cs="仿宋"/>
          <w:color w:val="auto"/>
          <w:sz w:val="24"/>
          <w:highlight w:val="none"/>
          <w:lang w:val="en-US" w:eastAsia="zh-CN"/>
        </w:rPr>
        <w:t xml:space="preserve">通过甲方或上级部门验收或检查合格</w:t>
      </w:r>
      <w:r>
        <w:rPr>
          <w:rFonts w:hint="eastAsia" w:ascii="仿宋" w:hAnsi="仿宋" w:eastAsia="仿宋" w:cs="仿宋"/>
          <w:color w:val="auto"/>
          <w:sz w:val="24"/>
          <w:highlight w:val="none"/>
        </w:rPr>
        <w:t xml:space="preserve">1年后付清余款即</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万元 ，大写</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w:t>
      </w:r>
      <w:r/>
    </w:p>
    <w:p>
      <w:pPr>
        <w:ind w:firstLine="48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卖方需提交的支付文件包括：成交通知书、合同、验收报告、卖方出具的全额正式发票。本合同执行中相关的一切税费均由乙方负担。</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第五条 成果交付</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5.1卖方严格按照相关规程、规范操作，确保成果符合采购需求及相关规定，成果编制完成后按规定程序上报。</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5.2卖方应在不迟于每批合同标的备妥待运前 5 日通知买方。</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5.3如果卖方未能按照合同规定的服务期限交货，卖方应按每天迟交合同标的金额的百分之一 (1%)的比率支付违约金。违约金的总金额不超过合同总价的百分之十(10%) ，违约金的支付不能免除卖方继续交付相关合同标的的义务。</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如果卖方在合同规定的服务期限后十日内仍未能交付全部或部分标的，在不妨碍买方采取其他救济手段的情况下，买方可以向卖方发出书面违约通知从而全部或部分地终止合同。</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第六条、履约保证金</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本项目无需缴纳履约保证金。</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第七条 技术资料</w:t>
      </w:r>
      <w:r/>
    </w:p>
    <w:p>
      <w:pPr>
        <w:ind w:firstLine="48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 技术资料随合同标的同时交付给买方。</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第八条 交付</w:t>
      </w:r>
      <w:r/>
    </w:p>
    <w:p>
      <w:pPr>
        <w:ind w:firstLine="480"/>
        <w:jc w:val="left"/>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8.1 按照省厅要求提交全部成果。</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第九条 验收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9.1 根据《土地调查条例》《土地调查条例实施办法》《国土变更调查技术规程》等规范标准</w:t>
      </w:r>
      <w:r>
        <w:rPr>
          <w:rFonts w:hint="eastAsia" w:ascii="仿宋" w:hAnsi="仿宋" w:eastAsia="仿宋" w:cs="仿宋"/>
          <w:color w:val="auto"/>
          <w:sz w:val="24"/>
          <w:highlight w:val="none"/>
          <w:lang w:eastAsia="zh-CN"/>
        </w:rPr>
        <w:t xml:space="preserve">进行验收</w:t>
      </w:r>
      <w:r>
        <w:rPr>
          <w:rFonts w:hint="eastAsia" w:ascii="仿宋" w:hAnsi="仿宋" w:eastAsia="仿宋" w:cs="仿宋"/>
          <w:color w:val="auto"/>
          <w:sz w:val="24"/>
          <w:highlight w:val="none"/>
        </w:rPr>
        <w:t xml:space="preserve">。</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第十条 违约责任</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.1买方有权选择本条款规定的任意或全部救济方式。</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.2卖方应在收到买方索赔要求后14日内作出书面回复，否则该索赔要求将被视为已被卖方接受。卖方应在买方发出索赔要求后14日内，按照买方选择的救济方法解决索赔事宜。</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.3如果合同标的在服务期间、试运行和验收中卖方未能履行其在本合同项下承担的义务，买方有权向卖方提出索赔并寻求《合同专用条款》中规定的救济方式，救济方式包括：</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A. 卖方替换不符合合同规定的合同标的。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B. 按质量低劣的程度、买方受损害的程度及损失的数额对合同标的进行降价。</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C. 拒收合同标的。</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D. 赔偿由卖方违约引起的其他损失。</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w:t>
      </w:r>
      <w:r>
        <w:rPr>
          <w:rFonts w:hint="eastAsia" w:ascii="仿宋" w:hAnsi="仿宋" w:eastAsia="仿宋" w:cs="仿宋"/>
          <w:b/>
          <w:bCs/>
          <w:color w:val="auto"/>
          <w:sz w:val="24"/>
          <w:highlight w:val="none"/>
          <w:lang w:val="en-US" w:eastAsia="zh-CN"/>
        </w:rPr>
        <w:t xml:space="preserve">一</w:t>
      </w:r>
      <w:r>
        <w:rPr>
          <w:rFonts w:hint="eastAsia" w:ascii="仿宋" w:hAnsi="仿宋" w:eastAsia="仿宋" w:cs="仿宋"/>
          <w:b/>
          <w:bCs/>
          <w:color w:val="auto"/>
          <w:sz w:val="24"/>
          <w:highlight w:val="none"/>
        </w:rPr>
        <w:t xml:space="preserve">条 不可抗力</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不可抗力事件持续超过30日，任一方均有权解除本合同。</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条 合同的终止</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如果卖方有下述违约行为，买方可以全部或部分地终止合同：</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卖方在合同规定的交付期限后</w:t>
      </w:r>
      <w:r>
        <w:rPr>
          <w:rFonts w:hint="eastAsia" w:ascii="仿宋" w:hAnsi="仿宋" w:eastAsia="仿宋" w:cs="仿宋"/>
          <w:color w:val="auto"/>
          <w:sz w:val="24"/>
          <w:highlight w:val="none"/>
          <w:u w:val="single"/>
        </w:rPr>
        <w:t xml:space="preserve">10</w:t>
      </w:r>
      <w:r>
        <w:rPr>
          <w:rFonts w:hint="eastAsia" w:ascii="仿宋" w:hAnsi="仿宋" w:eastAsia="仿宋" w:cs="仿宋"/>
          <w:color w:val="auto"/>
          <w:sz w:val="24"/>
          <w:highlight w:val="none"/>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highlight w:val="none"/>
          <w:u w:val="single"/>
        </w:rPr>
        <w:t xml:space="preserve">5</w:t>
      </w:r>
      <w:r>
        <w:rPr>
          <w:rFonts w:hint="eastAsia" w:ascii="仿宋" w:hAnsi="仿宋" w:eastAsia="仿宋" w:cs="仿宋"/>
          <w:color w:val="auto"/>
          <w:sz w:val="24"/>
          <w:highlight w:val="none"/>
        </w:rPr>
        <w:t xml:space="preserve">日内仍未能对其违约行为作出补救。</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条 争议的解决</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如果不能协商一致，合同任何一方有权向买方所在地人民法院提起诉讼。</w:t>
      </w:r>
      <w:r/>
    </w:p>
    <w:p>
      <w:pPr>
        <w:numPr>
          <w:ilvl w:val="0"/>
          <w:numId w:val="0"/>
        </w:numPr>
        <w:spacing w:line="312"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第十四条 </w:t>
      </w:r>
      <w:r>
        <w:rPr>
          <w:rFonts w:hint="eastAsia" w:ascii="仿宋" w:hAnsi="仿宋" w:eastAsia="仿宋" w:cs="仿宋"/>
          <w:b/>
          <w:bCs/>
          <w:color w:val="auto"/>
          <w:sz w:val="24"/>
          <w:highlight w:val="none"/>
        </w:rPr>
        <w:t xml:space="preserve">合同生效及其他</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14.1</w:t>
      </w:r>
      <w:r>
        <w:rPr>
          <w:rFonts w:hint="eastAsia" w:ascii="仿宋" w:hAnsi="仿宋" w:eastAsia="仿宋" w:cs="仿宋"/>
          <w:color w:val="auto"/>
          <w:sz w:val="24"/>
          <w:highlight w:val="none"/>
        </w:rPr>
        <w:t xml:space="preserve">（1）合同附件包括：</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①买方发布的磋商文件；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②卖方提交的响应文件；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③《成交通知书》；</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④买方和卖方商定的其他必要文件。</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（2）合同附件与合同具有同等效力。</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（3）合同文件应能相互解释、相互说明。若合同文件之间有矛盾，则以最新的文件为准。</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14.2</w:t>
      </w:r>
      <w:r>
        <w:rPr>
          <w:rFonts w:hint="eastAsia" w:ascii="仿宋" w:hAnsi="仿宋" w:eastAsia="仿宋" w:cs="仿宋"/>
          <w:color w:val="auto"/>
          <w:sz w:val="24"/>
          <w:highlight w:val="none"/>
        </w:rPr>
        <w:t xml:space="preserve"> 按照《财政部关于做好政府采购信息公开工作的通知》（财库〔2015〕135号），买方依据《保守国家秘密法》等法律制度规定确定本合同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部分涉及国家秘密，该涉及国家秘密部分不公告；买方依据《反不正当竞争法》等法律制度的规定与卖方约定本合同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部分涉及商业秘密，该涉及商业秘密部分不公告。</w:t>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14.3</w:t>
      </w:r>
      <w:r>
        <w:rPr>
          <w:rFonts w:hint="eastAsia" w:ascii="仿宋" w:hAnsi="仿宋" w:eastAsia="仿宋" w:cs="仿宋"/>
          <w:color w:val="auto"/>
          <w:sz w:val="24"/>
          <w:highlight w:val="none"/>
        </w:rPr>
        <w:t xml:space="preserve"> 合同双方： </w:t>
      </w:r>
      <w:r/>
    </w:p>
    <w:p>
      <w:pPr>
        <w:ind w:firstLine="480"/>
        <w:spacing w:line="360" w:lineRule="auto"/>
        <w:rPr>
          <w:rFonts w:ascii="仿宋_GB2312" w:eastAsia="仿宋_GB2312"/>
          <w:color w:val="auto"/>
          <w:sz w:val="24"/>
          <w:szCs w:val="24"/>
          <w:highlight w:val="none"/>
        </w:rPr>
      </w:pPr>
      <w:r>
        <w:rPr>
          <w:rFonts w:hint="eastAsia" w:ascii="仿宋" w:hAnsi="仿宋" w:eastAsia="仿宋" w:cs="仿宋"/>
          <w:color w:val="auto"/>
          <w:sz w:val="24"/>
          <w:highlight w:val="none"/>
        </w:rPr>
        <w:t xml:space="preserve">买方:</w:t>
      </w:r>
      <w:r>
        <w:rPr>
          <w:rFonts w:hint="eastAsia" w:ascii="仿宋_GB2312" w:eastAsia="仿宋_GB2312"/>
          <w:color w:val="auto"/>
          <w:sz w:val="24"/>
          <w:szCs w:val="24"/>
          <w:highlight w:val="none"/>
        </w:rPr>
        <w:t xml:space="preserve"> </w:t>
      </w:r>
      <w:r>
        <w:rPr>
          <w:rFonts w:hint="eastAsia" w:ascii="仿宋" w:hAnsi="仿宋" w:eastAsia="仿宋" w:cs="仿宋"/>
          <w:color w:val="auto"/>
          <w:sz w:val="24"/>
          <w:highlight w:val="none"/>
        </w:rPr>
        <w:t xml:space="preserve">(公章)</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卖方: </w:t>
      </w:r>
      <w:r>
        <w:rPr>
          <w:rFonts w:hint="eastAsia" w:ascii="仿宋_GB2312" w:eastAsia="仿宋_GB2312"/>
          <w:color w:val="auto"/>
          <w:sz w:val="24"/>
          <w:szCs w:val="24"/>
          <w:highlight w:val="none"/>
        </w:rPr>
        <w:t xml:space="preserve"> (公章)</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法定代表人或其委托代理人</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法定代表人或其委托代理人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（签字）：</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（签字）：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地址: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邮编:</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邮编: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电话: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传真:</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传真: </w:t>
      </w:r>
      <w:r/>
    </w:p>
    <w:p>
      <w:pPr>
        <w:ind w:firstLine="480"/>
        <w:spacing w:line="360" w:lineRule="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_GB2312" w:eastAsia="仿宋_GB2312"/>
          <w:color w:val="auto"/>
          <w:sz w:val="24"/>
          <w:szCs w:val="24"/>
          <w:highlight w:val="none"/>
        </w:rPr>
        <w:t xml:space="preserve">开户银行：</w:t>
      </w:r>
      <w:r/>
    </w:p>
    <w:p>
      <w:pPr>
        <w:ind w:firstLine="480"/>
        <w:spacing w:line="360" w:lineRule="auto"/>
        <w:widowControl w:val="off"/>
        <w:rPr>
          <w:rFonts w:ascii="Times New Roman" w:hAnsi="Times New Roman" w:eastAsia="宋体"/>
          <w:color w:val="auto"/>
          <w:sz w:val="24"/>
          <w:szCs w:val="24"/>
          <w:highlight w:val="none"/>
        </w:rPr>
      </w:pPr>
      <w:r>
        <w:rPr>
          <w:rFonts w:hint="eastAsia" w:ascii="仿宋_GB2312" w:hAnsi="Times New Roman" w:eastAsia="仿宋_GB2312"/>
          <w:color w:val="auto"/>
          <w:sz w:val="24"/>
          <w:szCs w:val="24"/>
          <w:highlight w:val="none"/>
        </w:rPr>
        <w:t xml:space="preserve">账号：</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_GB2312" w:hAnsi="Times New Roman" w:eastAsia="仿宋_GB2312"/>
          <w:color w:val="auto"/>
          <w:sz w:val="24"/>
          <w:szCs w:val="24"/>
          <w:highlight w:val="none"/>
        </w:rPr>
        <w:t xml:space="preserve">账号：</w:t>
      </w:r>
      <w:r/>
    </w:p>
    <w:p>
      <w:pPr>
        <w:ind w:firstLine="480"/>
        <w:spacing w:line="360" w:lineRule="auto"/>
        <w:widowControl w:val="off"/>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日期：</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_GB2312" w:hAnsi="Times New Roman" w:eastAsia="仿宋_GB2312"/>
          <w:color w:val="auto"/>
          <w:sz w:val="24"/>
          <w:szCs w:val="24"/>
          <w:highlight w:val="none"/>
        </w:rPr>
        <w:t xml:space="preserve">日期：</w:t>
      </w:r>
      <w:r/>
    </w:p>
    <w:p>
      <w:pPr>
        <w:widowControl w:val="off"/>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ind w:firstLine="480"/>
        <w:spacing w:line="312"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合</w:t>
      </w:r>
      <w:r>
        <w:rPr>
          <w:rFonts w:hint="eastAsia" w:ascii="仿宋" w:hAnsi="仿宋" w:eastAsia="仿宋" w:cs="仿宋"/>
          <w:color w:val="auto"/>
          <w:sz w:val="24"/>
          <w:highlight w:val="none"/>
          <w:lang w:val="zh-CN"/>
        </w:rPr>
        <w:t xml:space="preserve">同一式</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份，具有同等法律效力，买方</w:t>
      </w:r>
      <w:r>
        <w:rPr>
          <w:rFonts w:hint="eastAsia" w:ascii="仿宋_GB2312" w:eastAsia="仿宋_GB2312"/>
          <w:bCs/>
          <w:color w:val="auto"/>
          <w:sz w:val="24"/>
          <w:szCs w:val="24"/>
          <w:highlight w:val="none"/>
        </w:rPr>
        <w:t xml:space="preserve">执</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份，卖方</w:t>
      </w:r>
      <w:r>
        <w:rPr>
          <w:rFonts w:hint="eastAsia" w:ascii="仿宋_GB2312" w:eastAsia="仿宋_GB2312"/>
          <w:bCs/>
          <w:color w:val="auto"/>
          <w:sz w:val="24"/>
          <w:szCs w:val="24"/>
          <w:highlight w:val="none"/>
        </w:rPr>
        <w:t xml:space="preserve">执</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w:t>
      </w:r>
      <w:r>
        <w:rPr>
          <w:rFonts w:hint="eastAsia" w:ascii="仿宋" w:hAnsi="仿宋" w:eastAsia="仿宋" w:cs="仿宋"/>
          <w:color w:val="auto"/>
          <w:sz w:val="24"/>
          <w:highlight w:val="none"/>
        </w:rPr>
        <w:t xml:space="preserve">代理机构</w:t>
      </w:r>
      <w:r>
        <w:rPr>
          <w:rFonts w:hint="eastAsia" w:ascii="仿宋_GB2312" w:eastAsia="仿宋_GB2312"/>
          <w:bCs/>
          <w:color w:val="auto"/>
          <w:sz w:val="24"/>
          <w:szCs w:val="24"/>
          <w:highlight w:val="none"/>
        </w:rPr>
        <w:t xml:space="preserve">执</w:t>
      </w:r>
      <w:r>
        <w:rPr>
          <w:rFonts w:hint="eastAsia" w:ascii="仿宋" w:hAnsi="仿宋" w:eastAsia="仿宋" w:cs="仿宋"/>
          <w:color w:val="auto"/>
          <w:sz w:val="24"/>
          <w:highlight w:val="none"/>
          <w:u w:val="single"/>
          <w:lang w:val="zh-CN"/>
        </w:rPr>
        <w:t xml:space="preserve">一</w:t>
      </w:r>
      <w:r>
        <w:rPr>
          <w:rFonts w:hint="eastAsia" w:ascii="仿宋" w:hAnsi="仿宋" w:eastAsia="仿宋" w:cs="仿宋"/>
          <w:color w:val="auto"/>
          <w:sz w:val="24"/>
          <w:highlight w:val="none"/>
          <w:lang w:val="zh-CN"/>
        </w:rPr>
        <w:t xml:space="preserve">份。</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240"/>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lang w:val="zh-CN"/>
        </w:rPr>
        <w:t xml:space="preserve">注：甲乙双方可根据项目实际情况，经协商一致可对本合同范本内容作出相应调整。</w:t>
      </w:r>
      <w:r/>
    </w:p>
    <w:p>
      <w:pPr>
        <w:pStyle w:val="724"/>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center"/>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 xml:space="preserve">12、具备履行合同所必需的设备和专业技术能力的书面声明</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项目名称：</w:t>
      </w:r>
      <w:r>
        <w:rPr>
          <w:rFonts w:hint="eastAsia" w:ascii="仿宋_GB2312" w:hAnsi="仿宋_GB2312" w:eastAsia="仿宋_GB2312" w:cs="仿宋_GB2312"/>
          <w:sz w:val="24"/>
          <w:lang w:eastAsia="zh-CN"/>
        </w:rPr>
        <w:t xml:space="preserve">新沂市国土变更调查及日常变更调查项目</w:t>
      </w:r>
      <w:r/>
    </w:p>
    <w:p>
      <w:pPr>
        <w:ind w:firstLine="480"/>
        <w:spacing w:line="4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JSZC-320381-WYZJ-C2025-0023</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我单位郑重声明：我单位具备履行合同（项目名称：</w:t>
      </w:r>
      <w:r>
        <w:rPr>
          <w:rFonts w:hint="eastAsia" w:ascii="仿宋_GB2312" w:hAnsi="仿宋_GB2312" w:eastAsia="仿宋_GB2312" w:cs="仿宋_GB2312"/>
          <w:sz w:val="24"/>
          <w:lang w:eastAsia="zh-CN"/>
        </w:rPr>
        <w:t xml:space="preserve">新沂市国土变更调查及日常变更调查项目</w:t>
      </w:r>
      <w:r>
        <w:rPr>
          <w:rFonts w:hint="eastAsia" w:ascii="仿宋_GB2312" w:hAnsi="仿宋_GB2312" w:eastAsia="仿宋_GB2312" w:cs="仿宋_GB2312"/>
          <w:sz w:val="24"/>
        </w:rPr>
        <w:t xml:space="preserve">，项目编号：</w:t>
      </w:r>
      <w:r>
        <w:rPr>
          <w:rFonts w:hint="eastAsia" w:ascii="仿宋_GB2312" w:hAnsi="仿宋_GB2312" w:eastAsia="仿宋_GB2312" w:cs="仿宋_GB2312"/>
          <w:sz w:val="24"/>
          <w:lang w:eastAsia="zh-CN"/>
        </w:rPr>
        <w:t xml:space="preserve">JSZC-320381-WYZJ-C2025-0023</w:t>
      </w:r>
      <w:r>
        <w:rPr>
          <w:rFonts w:hint="eastAsia" w:ascii="仿宋_GB2312" w:hAnsi="仿宋_GB2312" w:eastAsia="仿宋_GB2312" w:cs="仿宋_GB2312"/>
          <w:sz w:val="24"/>
        </w:rPr>
        <w:t xml:space="preserve">）所必需的设备和专业技术能力。</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特此声明。</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我单位对上述声明的真实性负责。如有虚假，将依法承担相应责任。</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供应商：（</w:t>
      </w:r>
      <w:r>
        <w:rPr>
          <w:rFonts w:hint="eastAsia" w:ascii="仿宋_GB2312" w:hAnsi="仿宋_GB2312" w:eastAsia="仿宋_GB2312" w:cs="仿宋_GB2312"/>
          <w:sz w:val="24"/>
          <w:lang w:val="en-US" w:eastAsia="zh-CN"/>
        </w:rPr>
        <w:t xml:space="preserve">电子签章</w:t>
      </w:r>
      <w:r>
        <w:rPr>
          <w:rFonts w:hint="eastAsia" w:ascii="仿宋_GB2312" w:hAnsi="仿宋_GB2312" w:eastAsia="仿宋_GB2312" w:cs="仿宋_GB2312"/>
          <w:sz w:val="24"/>
        </w:rPr>
        <w:t xml:space="preserve">）</w:t>
      </w:r>
      <w:r/>
    </w:p>
    <w:p>
      <w:pPr>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p>
    <w:p>
      <w:pPr>
        <w:ind w:firstLine="480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sz w:val="24"/>
        </w:rPr>
        <w:t xml:space="preserve">日期：   年  月  日</w:t>
      </w:r>
      <w:r/>
    </w:p>
    <w:p>
      <w:pPr>
        <w:pStyle w:val="808"/>
        <w:rPr>
          <w:rFonts w:hint="eastAsia" w:ascii="仿宋_GB2312" w:hAnsi="仿宋_GB2312" w:eastAsia="仿宋_GB2312" w:cs="仿宋_GB2312"/>
        </w:rPr>
      </w:pPr>
      <w:r>
        <w:rPr>
          <w:rFonts w:hint="eastAsia" w:ascii="仿宋_GB2312" w:hAnsi="仿宋_GB2312" w:eastAsia="仿宋_GB2312" w:cs="仿宋_GB2312"/>
        </w:rPr>
      </w:r>
      <w:r/>
    </w:p>
    <w:p>
      <w:pPr>
        <w:pStyle w:val="786"/>
        <w:rPr>
          <w:rFonts w:hint="eastAsia" w:ascii="仿宋_GB2312" w:hAnsi="仿宋_GB2312" w:eastAsia="仿宋_GB2312" w:cs="仿宋_GB2312"/>
        </w:rPr>
      </w:pPr>
      <w:r>
        <w:rPr>
          <w:rFonts w:hint="eastAsia" w:ascii="仿宋_GB2312" w:hAnsi="仿宋_GB2312" w:eastAsia="仿宋_GB2312" w:cs="仿宋_GB2312"/>
        </w:rPr>
      </w:r>
      <w:r/>
    </w:p>
    <w:p>
      <w:pPr>
        <w:pStyle w:val="798"/>
        <w:rPr>
          <w:rFonts w:hint="eastAsia" w:ascii="仿宋_GB2312" w:hAnsi="仿宋_GB2312" w:eastAsia="仿宋_GB2312" w:cs="仿宋_GB2312"/>
        </w:rPr>
      </w:pPr>
      <w:r>
        <w:rPr>
          <w:rFonts w:hint="eastAsia" w:ascii="仿宋_GB2312" w:hAnsi="仿宋_GB2312" w:eastAsia="仿宋_GB2312" w:cs="仿宋_GB2312"/>
        </w:rPr>
      </w:r>
      <w:r/>
    </w:p>
    <w:p>
      <w:pPr>
        <w:pStyle w:val="808"/>
        <w:rPr>
          <w:rFonts w:hint="eastAsia" w:ascii="仿宋_GB2312" w:hAnsi="仿宋_GB2312" w:eastAsia="仿宋_GB2312" w:cs="仿宋_GB2312"/>
        </w:rPr>
      </w:pPr>
      <w:r>
        <w:rPr>
          <w:rFonts w:hint="eastAsia" w:ascii="仿宋_GB2312" w:hAnsi="仿宋_GB2312" w:eastAsia="仿宋_GB2312" w:cs="仿宋_GB2312"/>
        </w:rPr>
      </w:r>
      <w:r/>
    </w:p>
    <w:p>
      <w:pPr>
        <w:pStyle w:val="786"/>
        <w:rPr>
          <w:rFonts w:hint="eastAsia" w:ascii="仿宋_GB2312" w:hAnsi="仿宋_GB2312" w:eastAsia="仿宋_GB2312" w:cs="仿宋_GB2312"/>
        </w:rPr>
      </w:pPr>
      <w:r>
        <w:rPr>
          <w:rFonts w:hint="eastAsia" w:ascii="仿宋_GB2312" w:hAnsi="仿宋_GB2312" w:eastAsia="仿宋_GB2312" w:cs="仿宋_GB2312"/>
        </w:rPr>
      </w:r>
      <w:r/>
    </w:p>
    <w:p>
      <w:pPr>
        <w:pStyle w:val="798"/>
        <w:rPr>
          <w:rFonts w:hint="eastAsia" w:ascii="仿宋_GB2312" w:hAnsi="仿宋_GB2312" w:eastAsia="仿宋_GB2312" w:cs="仿宋_GB2312"/>
        </w:rPr>
      </w:pPr>
      <w:r>
        <w:rPr>
          <w:rFonts w:hint="eastAsia" w:ascii="仿宋_GB2312" w:hAnsi="仿宋_GB2312" w:eastAsia="仿宋_GB2312" w:cs="仿宋_GB2312"/>
        </w:rPr>
      </w:r>
      <w:r/>
    </w:p>
    <w:p>
      <w:pPr>
        <w:pStyle w:val="808"/>
        <w:rPr>
          <w:rFonts w:hint="eastAsia" w:ascii="仿宋_GB2312" w:hAnsi="仿宋_GB2312" w:eastAsia="仿宋_GB2312" w:cs="仿宋_GB2312"/>
        </w:rPr>
      </w:pPr>
      <w:r>
        <w:rPr>
          <w:rFonts w:hint="eastAsia" w:ascii="仿宋_GB2312" w:hAnsi="仿宋_GB2312" w:eastAsia="仿宋_GB2312" w:cs="仿宋_GB2312"/>
        </w:rPr>
      </w:r>
      <w:r/>
    </w:p>
    <w:p>
      <w:pPr>
        <w:pStyle w:val="786"/>
        <w:rPr>
          <w:rFonts w:hint="eastAsia" w:ascii="仿宋_GB2312" w:hAnsi="仿宋_GB2312" w:eastAsia="仿宋_GB2312" w:cs="仿宋_GB2312"/>
        </w:rPr>
      </w:pPr>
      <w:r>
        <w:rPr>
          <w:rFonts w:hint="eastAsia" w:ascii="仿宋_GB2312" w:hAnsi="仿宋_GB2312" w:eastAsia="仿宋_GB2312" w:cs="仿宋_GB2312"/>
        </w:rPr>
      </w:r>
      <w:r/>
    </w:p>
    <w:p>
      <w:pPr>
        <w:pStyle w:val="798"/>
        <w:rPr>
          <w:rFonts w:hint="eastAsia" w:ascii="仿宋_GB2312" w:hAnsi="仿宋_GB2312" w:eastAsia="仿宋_GB2312" w:cs="仿宋_GB2312"/>
        </w:rPr>
      </w:pPr>
      <w:r>
        <w:rPr>
          <w:rFonts w:hint="eastAsia" w:ascii="仿宋_GB2312" w:hAnsi="仿宋_GB2312" w:eastAsia="仿宋_GB2312" w:cs="仿宋_GB2312"/>
        </w:rPr>
      </w:r>
      <w:r/>
    </w:p>
    <w:p>
      <w:pPr>
        <w:pStyle w:val="808"/>
        <w:rPr>
          <w:rFonts w:hint="eastAsia" w:ascii="仿宋_GB2312" w:hAnsi="仿宋_GB2312" w:eastAsia="仿宋_GB2312" w:cs="仿宋_GB2312"/>
        </w:rPr>
      </w:pPr>
      <w:r>
        <w:rPr>
          <w:rFonts w:hint="eastAsia" w:ascii="仿宋_GB2312" w:hAnsi="仿宋_GB2312" w:eastAsia="仿宋_GB2312" w:cs="仿宋_GB2312"/>
        </w:rPr>
      </w:r>
      <w:r/>
    </w:p>
    <w:p>
      <w:pPr>
        <w:pStyle w:val="786"/>
        <w:rPr>
          <w:rFonts w:hint="eastAsia" w:ascii="仿宋_GB2312" w:hAnsi="仿宋_GB2312" w:eastAsia="仿宋_GB2312" w:cs="仿宋_GB2312"/>
        </w:rPr>
      </w:pPr>
      <w:r>
        <w:rPr>
          <w:rFonts w:hint="eastAsia" w:ascii="仿宋_GB2312" w:hAnsi="仿宋_GB2312" w:eastAsia="仿宋_GB2312" w:cs="仿宋_GB2312"/>
        </w:rPr>
      </w:r>
      <w:r/>
    </w:p>
    <w:p>
      <w:pPr>
        <w:pStyle w:val="798"/>
        <w:rPr>
          <w:rFonts w:hint="eastAsia" w:ascii="仿宋_GB2312" w:hAnsi="仿宋_GB2312" w:eastAsia="仿宋_GB2312" w:cs="仿宋_GB2312"/>
        </w:rPr>
      </w:pPr>
      <w:r>
        <w:rPr>
          <w:rFonts w:hint="eastAsia" w:ascii="仿宋_GB2312" w:hAnsi="仿宋_GB2312" w:eastAsia="仿宋_GB2312" w:cs="仿宋_GB2312"/>
        </w:rPr>
      </w:r>
      <w:r/>
    </w:p>
    <w:p>
      <w:pPr>
        <w:pStyle w:val="808"/>
        <w:rPr>
          <w:rFonts w:hint="eastAsia" w:ascii="仿宋_GB2312" w:hAnsi="仿宋_GB2312" w:eastAsia="仿宋_GB2312" w:cs="仿宋_GB2312"/>
        </w:rPr>
      </w:pPr>
      <w:r>
        <w:rPr>
          <w:rFonts w:hint="eastAsia" w:ascii="仿宋_GB2312" w:hAnsi="仿宋_GB2312" w:eastAsia="仿宋_GB2312" w:cs="仿宋_GB2312"/>
        </w:rPr>
      </w:r>
      <w:r/>
    </w:p>
    <w:p>
      <w:pPr>
        <w:pStyle w:val="786"/>
        <w:rPr>
          <w:rFonts w:hint="eastAsia" w:ascii="仿宋_GB2312" w:hAnsi="仿宋_GB2312" w:eastAsia="仿宋_GB2312" w:cs="仿宋_GB2312"/>
        </w:rPr>
      </w:pPr>
      <w:r>
        <w:rPr>
          <w:rFonts w:hint="eastAsia" w:ascii="仿宋_GB2312" w:hAnsi="仿宋_GB2312" w:eastAsia="仿宋_GB2312" w:cs="仿宋_GB2312"/>
        </w:rPr>
      </w:r>
      <w:r/>
    </w:p>
    <w:p>
      <w:pPr>
        <w:pStyle w:val="798"/>
        <w:rPr>
          <w:rFonts w:hint="eastAsia" w:ascii="仿宋_GB2312" w:hAnsi="仿宋_GB2312" w:eastAsia="仿宋_GB2312" w:cs="仿宋_GB2312"/>
        </w:rPr>
      </w:pPr>
      <w:r>
        <w:rPr>
          <w:rFonts w:hint="eastAsia" w:ascii="仿宋_GB2312" w:hAnsi="仿宋_GB2312" w:eastAsia="仿宋_GB2312" w:cs="仿宋_GB2312"/>
        </w:rPr>
      </w:r>
      <w:r/>
    </w:p>
    <w:p>
      <w:pPr>
        <w:pStyle w:val="808"/>
        <w:rPr>
          <w:rFonts w:hint="eastAsia" w:ascii="仿宋_GB2312" w:hAnsi="仿宋_GB2312" w:eastAsia="仿宋_GB2312" w:cs="仿宋_GB2312"/>
        </w:rPr>
      </w:pPr>
      <w:r>
        <w:rPr>
          <w:rFonts w:hint="eastAsia" w:ascii="仿宋_GB2312" w:hAnsi="仿宋_GB2312" w:eastAsia="仿宋_GB2312" w:cs="仿宋_GB2312"/>
        </w:rPr>
      </w:r>
      <w:r/>
    </w:p>
    <w:p>
      <w:pPr>
        <w:pStyle w:val="786"/>
        <w:rPr>
          <w:rFonts w:hint="eastAsia" w:ascii="仿宋_GB2312" w:hAnsi="仿宋_GB2312" w:eastAsia="仿宋_GB2312" w:cs="仿宋_GB2312"/>
        </w:rPr>
      </w:pPr>
      <w:r>
        <w:rPr>
          <w:rFonts w:hint="eastAsia" w:ascii="仿宋_GB2312" w:hAnsi="仿宋_GB2312" w:eastAsia="仿宋_GB2312" w:cs="仿宋_GB2312"/>
        </w:rPr>
      </w:r>
      <w:r/>
    </w:p>
    <w:p>
      <w:pPr>
        <w:pStyle w:val="798"/>
        <w:rPr>
          <w:rFonts w:hint="eastAsia" w:ascii="仿宋_GB2312" w:hAnsi="仿宋_GB2312" w:eastAsia="仿宋_GB2312" w:cs="仿宋_GB2312"/>
        </w:rPr>
      </w:pPr>
      <w:r>
        <w:rPr>
          <w:rFonts w:hint="eastAsia" w:ascii="仿宋_GB2312" w:hAnsi="仿宋_GB2312" w:eastAsia="仿宋_GB2312" w:cs="仿宋_GB2312"/>
        </w:rPr>
      </w:r>
      <w:r/>
    </w:p>
    <w:p>
      <w:pPr>
        <w:pStyle w:val="798"/>
        <w:rPr>
          <w:rFonts w:hint="eastAsia" w:ascii="仿宋_GB2312" w:hAnsi="仿宋_GB2312" w:eastAsia="仿宋_GB2312" w:cs="仿宋_GB2312"/>
        </w:rPr>
      </w:pPr>
      <w:r>
        <w:rPr>
          <w:rFonts w:hint="eastAsia" w:ascii="仿宋_GB2312" w:hAnsi="仿宋_GB2312" w:eastAsia="仿宋_GB2312" w:cs="仿宋_GB2312"/>
        </w:rPr>
      </w:r>
      <w:r/>
    </w:p>
    <w:p>
      <w:pPr>
        <w:pStyle w:val="797"/>
        <w:rPr>
          <w:rFonts w:hint="eastAsia" w:ascii="仿宋_GB2312" w:hAnsi="仿宋_GB2312" w:eastAsia="仿宋_GB2312" w:cs="仿宋_GB2312"/>
        </w:rPr>
      </w:pPr>
      <w:r>
        <w:rPr>
          <w:rFonts w:hint="eastAsia" w:ascii="仿宋_GB2312" w:hAnsi="仿宋_GB2312" w:eastAsia="仿宋_GB2312" w:cs="仿宋_GB2312"/>
        </w:rPr>
      </w:r>
      <w:r/>
    </w:p>
    <w:p>
      <w:pPr>
        <w:pStyle w:val="790"/>
        <w:rPr>
          <w:rFonts w:hint="eastAsia"/>
        </w:rPr>
      </w:pPr>
      <w:r>
        <w:rPr>
          <w:rFonts w:hint="eastAsia"/>
        </w:rPr>
      </w:r>
      <w:r/>
    </w:p>
    <w:p>
      <w:pPr>
        <w:pStyle w:val="808"/>
        <w:rPr>
          <w:rFonts w:hint="eastAsia" w:ascii="仿宋_GB2312" w:hAnsi="仿宋_GB2312" w:eastAsia="仿宋_GB2312" w:cs="仿宋_GB2312"/>
        </w:rPr>
      </w:pPr>
      <w:r>
        <w:rPr>
          <w:rFonts w:hint="eastAsia" w:ascii="仿宋_GB2312" w:hAnsi="仿宋_GB2312" w:eastAsia="仿宋_GB2312" w:cs="仿宋_GB2312"/>
        </w:rPr>
      </w:r>
      <w:r/>
    </w:p>
    <w:p>
      <w:pPr>
        <w:pStyle w:val="786"/>
        <w:rPr>
          <w:rFonts w:hint="eastAsia" w:ascii="仿宋_GB2312" w:hAnsi="仿宋_GB2312" w:eastAsia="仿宋_GB2312" w:cs="仿宋_GB2312"/>
        </w:rPr>
      </w:pPr>
      <w:r>
        <w:rPr>
          <w:rFonts w:hint="eastAsia" w:ascii="仿宋_GB2312" w:hAnsi="仿宋_GB2312" w:eastAsia="仿宋_GB2312" w:cs="仿宋_GB2312"/>
        </w:rPr>
      </w:r>
      <w:r/>
    </w:p>
    <w:p>
      <w:pPr>
        <w:pStyle w:val="739"/>
        <w:ind w:left="0" w:right="0"/>
        <w:jc w:val="center"/>
        <w:keepLines w:val="0"/>
        <w:keepNext w:val="0"/>
        <w:pageBreakBefore w:val="0"/>
        <w:spacing w:before="0" w:beforeAutospacing="0" w:after="0" w:afterAutospacing="0" w:line="460" w:lineRule="exact"/>
        <w:widowControl w:val="off"/>
        <w:rPr>
          <w:rFonts w:hint="eastAsia" w:ascii="仿宋_GB2312" w:hAnsi="仿宋_GB2312" w:eastAsia="仿宋_GB2312" w:cs="仿宋_GB2312"/>
          <w:b/>
          <w:bCs/>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sz w:val="30"/>
          <w:szCs w:val="30"/>
          <w:lang w:val="en-US" w:eastAsia="zh-CN" w:bidi="ar-SA"/>
        </w:rPr>
        <w:t xml:space="preserve">13.招标代理服务收费标准</w:t>
      </w:r>
      <w:r/>
    </w:p>
    <w:p>
      <w:pPr>
        <w:pStyle w:val="739"/>
        <w:ind w:left="0" w:right="0"/>
        <w:jc w:val="center"/>
        <w:keepLines w:val="0"/>
        <w:keepNext w:val="0"/>
        <w:pageBreakBefore w:val="0"/>
        <w:spacing w:before="0" w:beforeAutospacing="0" w:after="0" w:afterAutospacing="0" w:line="460" w:lineRule="exact"/>
        <w:widowControl/>
        <w:rPr>
          <w:rFonts w:hint="eastAsia" w:ascii="仿宋" w:hAnsi="仿宋" w:eastAsia="仿宋" w:cs="仿宋"/>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4"/>
          <w:szCs w:val="24"/>
        </w:rPr>
        <w:t xml:space="preserve"> </w:t>
      </w:r>
      <w:r>
        <w:rPr>
          <w:rFonts w:hint="eastAsia" w:ascii="仿宋" w:hAnsi="仿宋" w:eastAsia="仿宋" w:cs="仿宋"/>
          <w:color w:val="000000"/>
          <w:sz w:val="24"/>
          <w:szCs w:val="24"/>
        </w:rPr>
        <w:t xml:space="preserve">江苏省政府采购代理常规服务收费指导价</w:t>
      </w:r>
      <w:r>
        <w:rPr>
          <w:rFonts w:hint="eastAsia" w:ascii="仿宋" w:hAnsi="仿宋" w:eastAsia="仿宋" w:cs="仿宋"/>
          <w:color w:val="000000"/>
          <w:sz w:val="24"/>
          <w:szCs w:val="24"/>
          <w:lang w:eastAsia="zh-CN"/>
        </w:rPr>
        <w:t xml:space="preserve">（苏政采协【2024】20号）</w:t>
      </w:r>
      <w:r/>
    </w:p>
    <w:p>
      <w:pPr>
        <w:pStyle w:val="739"/>
        <w:jc w:val="both"/>
        <w:keepLines w:val="0"/>
        <w:keepNext w:val="0"/>
        <w:pageBreakBefore w:val="0"/>
        <w:spacing w:before="0" w:beforeAutospacing="0" w:after="0" w:afterAutospacing="0" w:line="460" w:lineRule="exact"/>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4"/>
          <w:szCs w:val="24"/>
        </w:rPr>
      </w:r>
      <w:r/>
    </w:p>
    <w:tbl>
      <w:tblPr>
        <w:tblStyle w:val="716"/>
        <w:tblW w:w="8780" w:type="dxa"/>
        <w:tblCellSpacing w:w="0"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25"/>
        <w:gridCol w:w="2755"/>
      </w:tblGrid>
      <w:tr>
        <w:trPr>
          <w:tblCellSpacing w:w="0" w:type="dxa"/>
          <w:trHeight w:val="492"/>
        </w:trPr>
        <w:tc>
          <w:tcPr>
            <w:shd w:val="clear" w:color="auto" w:fill="auto"/>
            <w:tcW w:w="6025" w:type="dxa"/>
            <w:vAlign w:val="center"/>
            <w:textDirection w:val="lrTb"/>
            <w:noWrap w:val="false"/>
          </w:tcPr>
          <w:p>
            <w:pPr>
              <w:pStyle w:val="739"/>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中标或成交金额</w:t>
            </w:r>
            <w:r/>
          </w:p>
        </w:tc>
        <w:tc>
          <w:tcPr>
            <w:shd w:val="clear" w:color="auto" w:fill="auto"/>
            <w:tcW w:w="2755" w:type="dxa"/>
            <w:vAlign w:val="center"/>
            <w:textDirection w:val="lrTb"/>
            <w:noWrap w:val="false"/>
          </w:tcPr>
          <w:p>
            <w:pPr>
              <w:pStyle w:val="739"/>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费率</w:t>
            </w:r>
            <w:r/>
          </w:p>
        </w:tc>
      </w:tr>
      <w:tr>
        <w:trPr>
          <w:tblCellSpacing w:w="0" w:type="dxa"/>
          <w:trHeight w:val="502"/>
        </w:trPr>
        <w:tc>
          <w:tcPr>
            <w:shd w:val="clear" w:color="auto" w:fill="auto"/>
            <w:tcW w:w="6025" w:type="dxa"/>
            <w:vAlign w:val="center"/>
            <w:textDirection w:val="lrTb"/>
            <w:noWrap w:val="false"/>
          </w:tcPr>
          <w:p>
            <w:pPr>
              <w:pStyle w:val="739"/>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最低收费金额(每个委托项目)</w:t>
            </w:r>
            <w:r/>
          </w:p>
        </w:tc>
        <w:tc>
          <w:tcPr>
            <w:shd w:val="clear" w:color="auto" w:fill="auto"/>
            <w:tcW w:w="2755" w:type="dxa"/>
            <w:vAlign w:val="center"/>
            <w:textDirection w:val="lrTb"/>
            <w:noWrap w:val="false"/>
          </w:tcPr>
          <w:p>
            <w:pPr>
              <w:pStyle w:val="739"/>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5000元</w:t>
            </w:r>
            <w:r/>
          </w:p>
        </w:tc>
      </w:tr>
      <w:tr>
        <w:trPr>
          <w:tblCellSpacing w:w="0" w:type="dxa"/>
          <w:trHeight w:val="492"/>
        </w:trPr>
        <w:tc>
          <w:tcPr>
            <w:shd w:val="clear" w:color="auto" w:fill="auto"/>
            <w:tcW w:w="6025" w:type="dxa"/>
            <w:vAlign w:val="center"/>
            <w:textDirection w:val="lrTb"/>
            <w:noWrap w:val="false"/>
          </w:tcPr>
          <w:p>
            <w:pPr>
              <w:pStyle w:val="739"/>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50万元以</w:t>
            </w:r>
            <w:r>
              <w:rPr>
                <w:rFonts w:hint="eastAsia" w:ascii="仿宋" w:hAnsi="仿宋" w:eastAsia="仿宋" w:cs="仿宋"/>
                <w:b w:val="0"/>
                <w:bCs w:val="0"/>
                <w:color w:val="000000"/>
                <w:sz w:val="24"/>
                <w:szCs w:val="24"/>
                <w:lang w:val="en-US" w:eastAsia="zh-CN"/>
              </w:rPr>
              <w:t xml:space="preserve">下</w:t>
            </w:r>
            <w:r>
              <w:rPr>
                <w:rFonts w:hint="eastAsia" w:ascii="仿宋" w:hAnsi="仿宋" w:eastAsia="仿宋" w:cs="仿宋"/>
                <w:b w:val="0"/>
                <w:bCs w:val="0"/>
                <w:color w:val="000000"/>
                <w:sz w:val="24"/>
                <w:szCs w:val="24"/>
              </w:rPr>
              <w:t xml:space="preserve">（含50万元）</w:t>
            </w:r>
            <w:r/>
          </w:p>
        </w:tc>
        <w:tc>
          <w:tcPr>
            <w:shd w:val="clear" w:color="auto" w:fill="auto"/>
            <w:tcW w:w="2755" w:type="dxa"/>
            <w:vAlign w:val="center"/>
            <w:textDirection w:val="lrTb"/>
            <w:noWrap w:val="false"/>
          </w:tcPr>
          <w:p>
            <w:pPr>
              <w:pStyle w:val="739"/>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1.60%</w:t>
            </w:r>
            <w:r/>
          </w:p>
        </w:tc>
      </w:tr>
      <w:tr>
        <w:trPr>
          <w:tblCellSpacing w:w="0" w:type="dxa"/>
          <w:trHeight w:val="492"/>
        </w:trPr>
        <w:tc>
          <w:tcPr>
            <w:shd w:val="clear" w:color="auto" w:fill="auto"/>
            <w:tcW w:w="6025" w:type="dxa"/>
            <w:vAlign w:val="center"/>
            <w:textDirection w:val="lrTb"/>
            <w:noWrap w:val="false"/>
          </w:tcPr>
          <w:p>
            <w:pPr>
              <w:pStyle w:val="739"/>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50-400万元以上（含400万元）</w:t>
            </w:r>
            <w:r/>
          </w:p>
        </w:tc>
        <w:tc>
          <w:tcPr>
            <w:shd w:val="clear" w:color="auto" w:fill="auto"/>
            <w:tcW w:w="2755" w:type="dxa"/>
            <w:vAlign w:val="center"/>
            <w:textDirection w:val="lrTb"/>
            <w:noWrap w:val="false"/>
          </w:tcPr>
          <w:p>
            <w:pPr>
              <w:pStyle w:val="739"/>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1.50%</w:t>
            </w:r>
            <w:r/>
          </w:p>
        </w:tc>
      </w:tr>
      <w:tr>
        <w:trPr>
          <w:tblCellSpacing w:w="0" w:type="dxa"/>
          <w:trHeight w:val="612"/>
        </w:trPr>
        <w:tc>
          <w:tcPr>
            <w:shd w:val="clear" w:color="auto" w:fill="auto"/>
            <w:tcW w:w="6025" w:type="dxa"/>
            <w:vAlign w:val="center"/>
            <w:textDirection w:val="lrTb"/>
            <w:noWrap w:val="false"/>
          </w:tcPr>
          <w:p>
            <w:pPr>
              <w:pStyle w:val="739"/>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400-1000万元以上（含1000万元）</w:t>
            </w:r>
            <w:r/>
          </w:p>
        </w:tc>
        <w:tc>
          <w:tcPr>
            <w:shd w:val="clear" w:color="auto" w:fill="auto"/>
            <w:tcW w:w="2755" w:type="dxa"/>
            <w:vAlign w:val="center"/>
            <w:textDirection w:val="lrTb"/>
            <w:noWrap w:val="false"/>
          </w:tcPr>
          <w:p>
            <w:pPr>
              <w:pStyle w:val="739"/>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1.10%</w:t>
            </w:r>
            <w:r/>
          </w:p>
        </w:tc>
      </w:tr>
      <w:tr>
        <w:trPr>
          <w:tblCellSpacing w:w="0" w:type="dxa"/>
          <w:trHeight w:val="494"/>
        </w:trPr>
        <w:tc>
          <w:tcPr>
            <w:shd w:val="clear" w:color="auto" w:fill="auto"/>
            <w:tcW w:w="6025" w:type="dxa"/>
            <w:vAlign w:val="center"/>
            <w:textDirection w:val="lrTb"/>
            <w:noWrap w:val="false"/>
          </w:tcPr>
          <w:p>
            <w:pPr>
              <w:pStyle w:val="739"/>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1000-5000万元以上（含5000万元）</w:t>
            </w:r>
            <w:r/>
          </w:p>
        </w:tc>
        <w:tc>
          <w:tcPr>
            <w:shd w:val="clear" w:color="auto" w:fill="auto"/>
            <w:tcW w:w="2755" w:type="dxa"/>
            <w:vAlign w:val="center"/>
            <w:textDirection w:val="lrTb"/>
            <w:noWrap w:val="false"/>
          </w:tcPr>
          <w:p>
            <w:pPr>
              <w:pStyle w:val="739"/>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0.80%</w:t>
            </w:r>
            <w:r/>
          </w:p>
        </w:tc>
      </w:tr>
      <w:tr>
        <w:trPr>
          <w:tblCellSpacing w:w="0" w:type="dxa"/>
          <w:trHeight w:val="499"/>
        </w:trPr>
        <w:tc>
          <w:tcPr>
            <w:shd w:val="clear" w:color="auto" w:fill="auto"/>
            <w:tcW w:w="6025" w:type="dxa"/>
            <w:vAlign w:val="center"/>
            <w:textDirection w:val="lrTb"/>
            <w:noWrap w:val="false"/>
          </w:tcPr>
          <w:p>
            <w:pPr>
              <w:pStyle w:val="739"/>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5000-1亿元以上（含1亿元）</w:t>
            </w:r>
            <w:r/>
          </w:p>
        </w:tc>
        <w:tc>
          <w:tcPr>
            <w:shd w:val="clear" w:color="auto" w:fill="auto"/>
            <w:tcW w:w="2755" w:type="dxa"/>
            <w:vAlign w:val="center"/>
            <w:textDirection w:val="lrTb"/>
            <w:noWrap w:val="false"/>
          </w:tcPr>
          <w:p>
            <w:pPr>
              <w:pStyle w:val="739"/>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0.25%</w:t>
            </w:r>
            <w:r/>
          </w:p>
        </w:tc>
      </w:tr>
      <w:tr>
        <w:trPr>
          <w:tblCellSpacing w:w="0" w:type="dxa"/>
          <w:trHeight w:val="494"/>
        </w:trPr>
        <w:tc>
          <w:tcPr>
            <w:shd w:val="clear" w:color="auto" w:fill="auto"/>
            <w:tcW w:w="6025" w:type="dxa"/>
            <w:vAlign w:val="center"/>
            <w:textDirection w:val="lrTb"/>
            <w:noWrap w:val="false"/>
          </w:tcPr>
          <w:p>
            <w:pPr>
              <w:pStyle w:val="739"/>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1-10亿以上（含10亿元）</w:t>
            </w:r>
            <w:r/>
          </w:p>
        </w:tc>
        <w:tc>
          <w:tcPr>
            <w:shd w:val="clear" w:color="auto" w:fill="auto"/>
            <w:tcW w:w="2755" w:type="dxa"/>
            <w:vAlign w:val="center"/>
            <w:textDirection w:val="lrTb"/>
            <w:noWrap w:val="false"/>
          </w:tcPr>
          <w:p>
            <w:pPr>
              <w:pStyle w:val="739"/>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0.05%</w:t>
            </w:r>
            <w:r/>
          </w:p>
        </w:tc>
      </w:tr>
      <w:tr>
        <w:trPr>
          <w:tblCellSpacing w:w="0" w:type="dxa"/>
          <w:trHeight w:val="494"/>
        </w:trPr>
        <w:tc>
          <w:tcPr>
            <w:shd w:val="clear" w:color="auto" w:fill="auto"/>
            <w:tcW w:w="6025" w:type="dxa"/>
            <w:vAlign w:val="center"/>
            <w:textDirection w:val="lrTb"/>
            <w:noWrap w:val="false"/>
          </w:tcPr>
          <w:p>
            <w:pPr>
              <w:pStyle w:val="739"/>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10-50亿元以上（含50亿元）</w:t>
            </w:r>
            <w:r/>
          </w:p>
        </w:tc>
        <w:tc>
          <w:tcPr>
            <w:shd w:val="clear" w:color="auto" w:fill="auto"/>
            <w:tcW w:w="2755" w:type="dxa"/>
            <w:vAlign w:val="center"/>
            <w:textDirection w:val="lrTb"/>
            <w:noWrap w:val="false"/>
          </w:tcPr>
          <w:p>
            <w:pPr>
              <w:pStyle w:val="739"/>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0.01%</w:t>
            </w:r>
            <w:r/>
          </w:p>
        </w:tc>
      </w:tr>
      <w:tr>
        <w:trPr>
          <w:tblCellSpacing w:w="0" w:type="dxa"/>
          <w:trHeight w:val="513"/>
        </w:trPr>
        <w:tc>
          <w:tcPr>
            <w:shd w:val="clear" w:color="auto" w:fill="auto"/>
            <w:tcW w:w="6025" w:type="dxa"/>
            <w:vAlign w:val="center"/>
            <w:textDirection w:val="lrTb"/>
            <w:noWrap w:val="false"/>
          </w:tcPr>
          <w:p>
            <w:pPr>
              <w:pStyle w:val="739"/>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50亿元以上</w:t>
            </w:r>
            <w:r/>
          </w:p>
        </w:tc>
        <w:tc>
          <w:tcPr>
            <w:shd w:val="clear" w:color="auto" w:fill="auto"/>
            <w:tcW w:w="2755" w:type="dxa"/>
            <w:vAlign w:val="center"/>
            <w:textDirection w:val="lrTb"/>
            <w:noWrap w:val="false"/>
          </w:tcPr>
          <w:p>
            <w:pPr>
              <w:pStyle w:val="739"/>
              <w:jc w:val="center"/>
              <w:keepLines w:val="0"/>
              <w:keepNext w:val="0"/>
              <w:pageBreakBefore w:val="0"/>
              <w:spacing w:before="0" w:beforeAutospacing="0" w:after="0" w:afterAutospacing="0" w:line="460" w:lineRule="exact"/>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rPr>
              <w:t xml:space="preserve">0.01%</w:t>
            </w:r>
            <w:r/>
          </w:p>
        </w:tc>
      </w:tr>
    </w:tbl>
    <w:p>
      <w:pPr>
        <w:pStyle w:val="739"/>
        <w:ind w:left="0" w:firstLine="2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说明：</w:t>
      </w:r>
      <w:r/>
    </w:p>
    <w:p>
      <w:pPr>
        <w:pStyle w:val="739"/>
        <w:ind w:left="0" w:firstLine="56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1.按上表计算的收费为代理服务全过程的收费金额。各社会代理机构不另外收取采购文件制作售卖费用。</w:t>
      </w:r>
      <w:r/>
    </w:p>
    <w:p>
      <w:pPr>
        <w:pStyle w:val="739"/>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2.代理服务费按差额定率累进法计算。</w:t>
      </w:r>
      <w:r/>
    </w:p>
    <w:p>
      <w:pPr>
        <w:pStyle w:val="739"/>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3.代理服务费基准金额（按差额定率累进法计算的）=中标金额（按差额定率累进法计算的）* 费率（%）</w:t>
      </w:r>
      <w:r/>
    </w:p>
    <w:p>
      <w:pPr>
        <w:pStyle w:val="739"/>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4.代理服务费应收取金额=代理服务费基准金额（按差额定率累进法计算的）的合计数。</w:t>
      </w:r>
      <w:r/>
    </w:p>
    <w:p>
      <w:pPr>
        <w:pStyle w:val="739"/>
        <w:ind w:left="0" w:firstLine="480"/>
        <w:keepLines w:val="0"/>
        <w:keepNext w:val="0"/>
        <w:pageBreakBefore w:val="0"/>
        <w:spacing w:before="0" w:beforeAutospacing="0" w:after="0" w:afterAutospacing="0" w:line="460" w:lineRule="exact"/>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5.计算出的代理服务费应收取金额如低于5千元，按5千元收取；</w:t>
      </w:r>
      <w:r/>
    </w:p>
    <w:p>
      <w:pPr>
        <w:pStyle w:val="739"/>
        <w:ind w:left="0" w:firstLine="480"/>
        <w:keepLines w:val="0"/>
        <w:keepNext w:val="0"/>
        <w:pageBreakBefore w:val="0"/>
        <w:spacing w:before="0" w:beforeAutospacing="0" w:after="0" w:afterAutospacing="0" w:line="460" w:lineRule="exact"/>
        <w:widowControl/>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6.定点类等无金额或事先不能计算出价格总额的项目，按中标（成交）金额100万元计算服务费。</w:t>
      </w:r>
      <w:r/>
    </w:p>
    <w:p>
      <w:pPr>
        <w:pStyle w:val="739"/>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8"/>
          <w:szCs w:val="28"/>
        </w:rPr>
      </w:r>
      <w:r/>
    </w:p>
    <w:p>
      <w:pPr>
        <w:pageBreakBefore w:val="0"/>
        <w:spacing w:line="460" w:lineRule="exact"/>
        <w:rPr>
          <w:rFonts w:hint="eastAsia"/>
          <w:highlight w:val="none"/>
        </w:rPr>
      </w:pPr>
      <w:r>
        <w:rPr>
          <w:rFonts w:hint="eastAsia"/>
          <w:highlight w:val="none"/>
        </w:rPr>
      </w:r>
      <w:r/>
    </w:p>
    <w:p>
      <w:pPr>
        <w:spacing w:line="480" w:lineRule="exact"/>
        <w:rPr>
          <w:rFonts w:hint="eastAsia" w:ascii="仿宋_GB2312" w:hAnsi="仿宋_GB2312" w:eastAsia="仿宋_GB2312" w:cs="仿宋_GB2312"/>
          <w:sz w:val="24"/>
        </w:rPr>
      </w:pPr>
      <w:r>
        <w:rPr>
          <w:rFonts w:hint="eastAsia" w:ascii="仿宋_GB2312" w:hAnsi="仿宋_GB2312" w:eastAsia="仿宋_GB2312" w:cs="仿宋_GB2312"/>
          <w:sz w:val="24"/>
        </w:rPr>
      </w:r>
      <w:r/>
    </w:p>
    <w:sectPr>
      <w:headerReference w:type="default" r:id="rId10"/>
      <w:headerReference w:type="first" r:id="rId11"/>
      <w:footerReference w:type="default" r:id="rId12"/>
      <w:footerReference w:type="even" r:id="rId13"/>
      <w:footerReference w:type="first" r:id="rId14"/>
      <w:footnotePr/>
      <w:endnotePr/>
      <w:type w:val="nextColumn"/>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Courier New">
    <w:panose1 w:val="02070309020205020404"/>
  </w:font>
  <w:font w:name="PMingLiU">
    <w:panose1 w:val="02020500000000000000"/>
  </w:font>
  <w:font w:name="Cambria">
    <w:panose1 w:val="02040503050406030204"/>
  </w:font>
  <w:font w:name="黑体">
    <w:panose1 w:val="02010609060101010101"/>
  </w:font>
  <w:font w:name="仿宋_GB2312">
    <w:panose1 w:val="02010609060101010101"/>
  </w:font>
  <w:font w:name="Calibri">
    <w:panose1 w:val="020F0502020204030204"/>
  </w:font>
  <w:font w:name="微软雅黑">
    <w:panose1 w:val="020B0503020204020204"/>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v:textbox>
            </v:shape>
          </w:pict>
        </mc:Fallback>
      </mc:AlternateContent>
    </w:r>
    <w:r>
      <w:rPr>
        <w:lang w:val="zh-CN"/>
      </w:rPr>
      <w:t xml:space="preserve"> </w:t>
    </w:r>
    <w:r/>
  </w:p>
  <w:p>
    <w:pPr>
      <w:pStyle w:val="9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p>
  <w:p>
    <w:pPr>
      <w:pStyle w:val="9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360"/>
      <w:jc w:val="both"/>
      <w:pBdr>
        <w:bottom w:val="single" w:color="000000" w:sz="6"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5760"/>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360"/>
      <w:jc w:val="both"/>
      <w:tabs>
        <w:tab w:val="left" w:pos="6585" w:leader="none"/>
      </w:tabs>
      <w:pBdr>
        <w:bottom w:val="single" w:color="000000" w:sz="6"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pStyle w:val="806"/>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6">
    <w:name w:val="Heading 1"/>
    <w:basedOn w:val="705"/>
    <w:next w:val="705"/>
    <w:link w:val="1042"/>
    <w:uiPriority w:val="1"/>
    <w:qFormat/>
    <w:pPr>
      <w:ind w:left="1373"/>
      <w:jc w:val="left"/>
      <w:spacing w:before="59"/>
      <w:outlineLvl w:val="0"/>
    </w:pPr>
    <w:rPr>
      <w:rFonts w:ascii="仿宋" w:hAnsi="仿宋" w:eastAsia="仿宋" w:cs="仿宋"/>
      <w:b/>
      <w:bCs/>
      <w:sz w:val="30"/>
      <w:szCs w:val="30"/>
      <w:lang w:val="zh-CN" w:bidi="zh-CN"/>
    </w:rPr>
  </w:style>
  <w:style w:type="paragraph" w:styleId="707">
    <w:name w:val="Heading 2"/>
    <w:basedOn w:val="705"/>
    <w:next w:val="705"/>
    <w:link w:val="810"/>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811"/>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812"/>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813"/>
    <w:uiPriority w:val="9"/>
    <w:unhideWhenUsed/>
    <w:qFormat/>
    <w:pPr>
      <w:keepLines/>
      <w:keepNext/>
      <w:spacing w:before="320" w:after="200"/>
      <w:outlineLvl w:val="4"/>
    </w:pPr>
    <w:rPr>
      <w:rFonts w:ascii="Arial" w:hAnsi="Arial" w:eastAsia="Arial" w:cs="Arial"/>
      <w:b/>
      <w:bCs/>
      <w:sz w:val="24"/>
    </w:rPr>
  </w:style>
  <w:style w:type="paragraph" w:styleId="711">
    <w:name w:val="Heading 6"/>
    <w:basedOn w:val="705"/>
    <w:next w:val="705"/>
    <w:link w:val="814"/>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816"/>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817"/>
    <w:uiPriority w:val="9"/>
    <w:unhideWhenUsed/>
    <w:qFormat/>
    <w:pPr>
      <w:keepLines/>
      <w:keepNext/>
      <w:spacing w:before="320" w:after="200"/>
      <w:outlineLvl w:val="8"/>
    </w:pPr>
    <w:rPr>
      <w:rFonts w:ascii="Arial" w:hAnsi="Arial" w:eastAsia="Arial" w:cs="Arial"/>
      <w:i/>
      <w:iCs/>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Layout w:type="fixed"/>
      <w:tblCellMar>
        <w:left w:w="108" w:type="dxa"/>
        <w:top w:w="0" w:type="dxa"/>
        <w:right w:w="108" w:type="dxa"/>
        <w:bottom w:w="0" w:type="dxa"/>
      </w:tblCellMar>
    </w:tblPr>
  </w:style>
  <w:style w:type="paragraph" w:styleId="717">
    <w:name w:val="Body Text First Indent"/>
    <w:basedOn w:val="718"/>
    <w:next w:val="719"/>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18">
    <w:name w:val="Body Text"/>
    <w:basedOn w:val="705"/>
    <w:next w:val="717"/>
    <w:uiPriority w:val="99"/>
    <w:semiHidden/>
    <w:unhideWhenUsed/>
    <w:qFormat/>
    <w:pPr>
      <w:spacing w:after="120"/>
    </w:pPr>
  </w:style>
  <w:style w:type="paragraph" w:styleId="719">
    <w:name w:val="toc 6"/>
    <w:basedOn w:val="705"/>
    <w:next w:val="705"/>
    <w:uiPriority w:val="39"/>
    <w:unhideWhenUsed/>
    <w:qFormat/>
    <w:pPr>
      <w:ind w:left="1417"/>
      <w:spacing w:after="57"/>
    </w:pPr>
  </w:style>
  <w:style w:type="paragraph" w:styleId="720">
    <w:name w:val="toc 7"/>
    <w:basedOn w:val="705"/>
    <w:next w:val="705"/>
    <w:uiPriority w:val="39"/>
    <w:unhideWhenUsed/>
    <w:qFormat/>
    <w:pPr>
      <w:ind w:left="1701"/>
      <w:spacing w:after="57"/>
    </w:pPr>
  </w:style>
  <w:style w:type="paragraph" w:styleId="721">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Indent"/>
    <w:basedOn w:val="705"/>
    <w:next w:val="723"/>
    <w:uiPriority w:val="0"/>
    <w:qFormat/>
    <w:pPr>
      <w:ind w:firstLine="567"/>
      <w:spacing w:line="500" w:lineRule="exact"/>
      <w:tabs>
        <w:tab w:val="left" w:pos="0" w:leader="none"/>
        <w:tab w:val="left" w:pos="993" w:leader="none"/>
        <w:tab w:val="left" w:pos="1134" w:leader="none"/>
      </w:tabs>
    </w:pPr>
    <w:rPr>
      <w:rFonts w:ascii="宋体"/>
    </w:rPr>
  </w:style>
  <w:style w:type="paragraph" w:styleId="723">
    <w:name w:val="envelope return"/>
    <w:basedOn w:val="705"/>
    <w:uiPriority w:val="0"/>
    <w:qFormat/>
    <w:pPr>
      <w:spacing w:after="200"/>
    </w:pPr>
    <w:rPr>
      <w:rFonts w:ascii="Arial" w:hAnsi="Arial" w:eastAsia="微软雅黑"/>
      <w:sz w:val="22"/>
      <w:szCs w:val="22"/>
    </w:rPr>
  </w:style>
  <w:style w:type="paragraph" w:styleId="724">
    <w:name w:val="Block Text"/>
    <w:basedOn w:val="705"/>
    <w:uiPriority w:val="0"/>
    <w:qFormat/>
    <w:pPr>
      <w:ind w:left="256" w:right="6" w:firstLine="624"/>
    </w:pPr>
    <w:rPr>
      <w:rFonts w:eastAsia="仿宋_GB2312"/>
      <w:sz w:val="28"/>
      <w:szCs w:val="20"/>
    </w:rPr>
  </w:style>
  <w:style w:type="paragraph" w:styleId="725">
    <w:name w:val="toc 5"/>
    <w:basedOn w:val="705"/>
    <w:next w:val="705"/>
    <w:uiPriority w:val="39"/>
    <w:unhideWhenUsed/>
    <w:qFormat/>
    <w:pPr>
      <w:ind w:left="1134"/>
      <w:spacing w:after="57"/>
    </w:pPr>
  </w:style>
  <w:style w:type="paragraph" w:styleId="726">
    <w:name w:val="toc 3"/>
    <w:basedOn w:val="705"/>
    <w:next w:val="705"/>
    <w:uiPriority w:val="39"/>
    <w:unhideWhenUsed/>
    <w:qFormat/>
    <w:pPr>
      <w:ind w:left="567"/>
      <w:spacing w:after="57"/>
    </w:pPr>
  </w:style>
  <w:style w:type="paragraph" w:styleId="727">
    <w:name w:val="toc 8"/>
    <w:basedOn w:val="705"/>
    <w:next w:val="705"/>
    <w:uiPriority w:val="39"/>
    <w:unhideWhenUsed/>
    <w:qFormat/>
    <w:pPr>
      <w:ind w:left="1984"/>
      <w:spacing w:after="57"/>
    </w:pPr>
  </w:style>
  <w:style w:type="paragraph" w:styleId="728">
    <w:name w:val="endnote text"/>
    <w:basedOn w:val="705"/>
    <w:link w:val="955"/>
    <w:uiPriority w:val="99"/>
    <w:semiHidden/>
    <w:unhideWhenUsed/>
    <w:qFormat/>
    <w:rPr>
      <w:sz w:val="20"/>
    </w:rPr>
  </w:style>
  <w:style w:type="paragraph" w:styleId="729">
    <w:name w:val="Footer"/>
    <w:basedOn w:val="705"/>
    <w:link w:val="828"/>
    <w:uiPriority w:val="99"/>
    <w:unhideWhenUsed/>
    <w:qFormat/>
    <w:pPr>
      <w:tabs>
        <w:tab w:val="center" w:pos="7143" w:leader="none"/>
        <w:tab w:val="right" w:pos="14287" w:leader="none"/>
      </w:tabs>
    </w:pPr>
  </w:style>
  <w:style w:type="paragraph" w:styleId="730">
    <w:name w:val="Body Text First Indent 2"/>
    <w:basedOn w:val="722"/>
    <w:next w:val="705"/>
    <w:uiPriority w:val="0"/>
    <w:qFormat/>
    <w:pPr>
      <w:ind w:left="420" w:firstLine="420"/>
      <w:spacing w:after="120" w:line="240" w:lineRule="auto"/>
    </w:pPr>
    <w:rPr>
      <w:rFonts w:ascii="Times New Roman"/>
    </w:rPr>
  </w:style>
  <w:style w:type="paragraph" w:styleId="731">
    <w:name w:val="Header"/>
    <w:basedOn w:val="705"/>
    <w:link w:val="826"/>
    <w:uiPriority w:val="99"/>
    <w:unhideWhenUsed/>
    <w:qFormat/>
    <w:pPr>
      <w:tabs>
        <w:tab w:val="center" w:pos="7143" w:leader="none"/>
        <w:tab w:val="right" w:pos="14287" w:leader="none"/>
      </w:tabs>
    </w:pPr>
  </w:style>
  <w:style w:type="paragraph" w:styleId="732">
    <w:name w:val="toc 1"/>
    <w:basedOn w:val="705"/>
    <w:next w:val="705"/>
    <w:uiPriority w:val="39"/>
    <w:unhideWhenUsed/>
    <w:qFormat/>
    <w:pPr>
      <w:spacing w:after="57"/>
    </w:pPr>
  </w:style>
  <w:style w:type="paragraph" w:styleId="733">
    <w:name w:val="toc 4"/>
    <w:basedOn w:val="705"/>
    <w:next w:val="705"/>
    <w:uiPriority w:val="39"/>
    <w:unhideWhenUsed/>
    <w:qFormat/>
    <w:pPr>
      <w:ind w:left="850"/>
      <w:spacing w:after="57"/>
    </w:pPr>
  </w:style>
  <w:style w:type="paragraph" w:styleId="734">
    <w:name w:val="Subtitle"/>
    <w:basedOn w:val="705"/>
    <w:next w:val="705"/>
    <w:link w:val="821"/>
    <w:uiPriority w:val="11"/>
    <w:qFormat/>
    <w:pPr>
      <w:spacing w:before="200" w:after="200"/>
    </w:pPr>
    <w:rPr>
      <w:sz w:val="24"/>
    </w:rPr>
  </w:style>
  <w:style w:type="paragraph" w:styleId="735">
    <w:name w:val="footnote text"/>
    <w:basedOn w:val="705"/>
    <w:link w:val="954"/>
    <w:uiPriority w:val="99"/>
    <w:semiHidden/>
    <w:unhideWhenUsed/>
    <w:qFormat/>
    <w:pPr>
      <w:spacing w:after="40"/>
    </w:pPr>
    <w:rPr>
      <w:sz w:val="18"/>
    </w:rPr>
  </w:style>
  <w:style w:type="paragraph" w:styleId="736">
    <w:name w:val="table of figures"/>
    <w:basedOn w:val="705"/>
    <w:next w:val="705"/>
    <w:uiPriority w:val="99"/>
    <w:unhideWhenUsed/>
    <w:qFormat/>
  </w:style>
  <w:style w:type="paragraph" w:styleId="737">
    <w:name w:val="toc 2"/>
    <w:basedOn w:val="705"/>
    <w:next w:val="705"/>
    <w:uiPriority w:val="39"/>
    <w:unhideWhenUsed/>
    <w:qFormat/>
    <w:pPr>
      <w:ind w:left="283"/>
      <w:spacing w:after="57"/>
    </w:pPr>
  </w:style>
  <w:style w:type="paragraph" w:styleId="738">
    <w:name w:val="toc 9"/>
    <w:basedOn w:val="705"/>
    <w:next w:val="705"/>
    <w:uiPriority w:val="39"/>
    <w:unhideWhenUsed/>
    <w:qFormat/>
    <w:pPr>
      <w:ind w:left="2268"/>
      <w:spacing w:after="57"/>
    </w:pPr>
  </w:style>
  <w:style w:type="paragraph" w:styleId="739">
    <w:name w:val="Normal (Web)"/>
    <w:basedOn w:val="705"/>
    <w:uiPriority w:val="99"/>
    <w:semiHidden/>
    <w:unhideWhenUsed/>
    <w:qFormat/>
    <w:rPr>
      <w:sz w:val="24"/>
    </w:rPr>
  </w:style>
  <w:style w:type="paragraph" w:styleId="740">
    <w:name w:val="Title"/>
    <w:basedOn w:val="705"/>
    <w:next w:val="705"/>
    <w:link w:val="820"/>
    <w:uiPriority w:val="10"/>
    <w:qFormat/>
    <w:pPr>
      <w:contextualSpacing/>
      <w:spacing w:before="300" w:after="200"/>
    </w:pPr>
    <w:rPr>
      <w:sz w:val="48"/>
      <w:szCs w:val="48"/>
    </w:rPr>
  </w:style>
  <w:style w:type="character" w:styleId="741">
    <w:name w:val="endnote reference"/>
    <w:uiPriority w:val="99"/>
    <w:semiHidden/>
    <w:unhideWhenUsed/>
    <w:qFormat/>
    <w:rPr>
      <w:vertAlign w:val="superscript"/>
    </w:rPr>
  </w:style>
  <w:style w:type="character" w:styleId="742">
    <w:name w:val="FollowedHyperlink"/>
    <w:basedOn w:val="715"/>
    <w:uiPriority w:val="99"/>
    <w:semiHidden/>
    <w:unhideWhenUsed/>
    <w:qFormat/>
    <w:rPr>
      <w:color w:val="333333"/>
      <w:u w:val="none"/>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46" w:customStyle="1">
    <w:name w:val="style4"/>
    <w:basedOn w:val="747"/>
    <w:next w:val="748"/>
    <w:uiPriority w:val="0"/>
    <w:qFormat/>
    <w:pPr>
      <w:spacing w:before="280" w:after="280"/>
      <w:widowControl/>
    </w:pPr>
    <w:rPr>
      <w:rFonts w:ascii="宋体"/>
      <w:sz w:val="18"/>
    </w:rPr>
  </w:style>
  <w:style w:type="paragraph" w:styleId="747" w:customStyle="1">
    <w:name w:val="正文_0"/>
    <w:next w:val="717"/>
    <w:uiPriority w:val="0"/>
    <w:qFormat/>
    <w:pPr>
      <w:jc w:val="both"/>
      <w:widowControl w:val="off"/>
    </w:pPr>
    <w:rPr>
      <w:rFonts w:hint="default" w:ascii="Calibri" w:hAnsi="Calibri" w:eastAsia="宋体" w:cs="Times New Roman"/>
      <w:sz w:val="21"/>
      <w:szCs w:val="24"/>
    </w:rPr>
  </w:style>
  <w:style w:type="paragraph" w:styleId="748" w:customStyle="1">
    <w:name w:val="2"/>
    <w:next w:val="705"/>
    <w:uiPriority w:val="0"/>
    <w:qFormat/>
    <w:pPr>
      <w:jc w:val="both"/>
      <w:widowControl w:val="off"/>
    </w:pPr>
    <w:rPr>
      <w:rFonts w:hint="default" w:ascii="Times New Roman" w:hAnsi="Times New Roman" w:eastAsia="宋体" w:cs="Times New Roman"/>
      <w:sz w:val="21"/>
      <w:szCs w:val="22"/>
    </w:rPr>
  </w:style>
  <w:style w:type="character" w:styleId="749" w:customStyle="1">
    <w:name w:val="Heading 2 Char"/>
    <w:basedOn w:val="715"/>
    <w:uiPriority w:val="9"/>
    <w:qFormat/>
    <w:rPr>
      <w:rFonts w:ascii="Arial" w:hAnsi="Arial" w:eastAsia="Arial" w:cs="Arial"/>
      <w:sz w:val="34"/>
    </w:rPr>
  </w:style>
  <w:style w:type="character" w:styleId="750" w:customStyle="1">
    <w:name w:val="Heading 3 Char"/>
    <w:basedOn w:val="715"/>
    <w:uiPriority w:val="9"/>
    <w:qFormat/>
    <w:rPr>
      <w:rFonts w:ascii="Arial" w:hAnsi="Arial" w:eastAsia="Arial" w:cs="Arial"/>
      <w:sz w:val="30"/>
      <w:szCs w:val="30"/>
    </w:rPr>
  </w:style>
  <w:style w:type="character" w:styleId="751" w:customStyle="1">
    <w:name w:val="Heading 4 Char"/>
    <w:basedOn w:val="715"/>
    <w:uiPriority w:val="9"/>
    <w:qFormat/>
    <w:rPr>
      <w:rFonts w:ascii="Arial" w:hAnsi="Arial" w:eastAsia="Arial" w:cs="Arial"/>
      <w:b/>
      <w:bCs/>
      <w:sz w:val="26"/>
      <w:szCs w:val="26"/>
    </w:rPr>
  </w:style>
  <w:style w:type="character" w:styleId="752" w:customStyle="1">
    <w:name w:val="Heading 5 Char"/>
    <w:basedOn w:val="715"/>
    <w:uiPriority w:val="9"/>
    <w:qFormat/>
    <w:rPr>
      <w:rFonts w:ascii="Arial" w:hAnsi="Arial" w:eastAsia="Arial" w:cs="Arial"/>
      <w:b/>
      <w:bCs/>
      <w:sz w:val="24"/>
      <w:szCs w:val="24"/>
    </w:rPr>
  </w:style>
  <w:style w:type="character" w:styleId="753" w:customStyle="1">
    <w:name w:val="Heading 6 Char"/>
    <w:basedOn w:val="715"/>
    <w:uiPriority w:val="9"/>
    <w:qFormat/>
    <w:rPr>
      <w:rFonts w:ascii="Arial" w:hAnsi="Arial" w:eastAsia="Arial" w:cs="Arial"/>
      <w:b/>
      <w:bCs/>
      <w:sz w:val="22"/>
      <w:szCs w:val="22"/>
    </w:rPr>
  </w:style>
  <w:style w:type="character" w:styleId="754" w:customStyle="1">
    <w:name w:val="Heading 7 Char"/>
    <w:basedOn w:val="715"/>
    <w:uiPriority w:val="9"/>
    <w:qFormat/>
    <w:rPr>
      <w:rFonts w:ascii="Arial" w:hAnsi="Arial" w:eastAsia="Arial" w:cs="Arial"/>
      <w:b/>
      <w:bCs/>
      <w:i/>
      <w:iCs/>
      <w:sz w:val="22"/>
      <w:szCs w:val="22"/>
    </w:rPr>
  </w:style>
  <w:style w:type="character" w:styleId="755" w:customStyle="1">
    <w:name w:val="Heading 8 Char"/>
    <w:basedOn w:val="715"/>
    <w:uiPriority w:val="9"/>
    <w:qFormat/>
    <w:rPr>
      <w:rFonts w:ascii="Arial" w:hAnsi="Arial" w:eastAsia="Arial" w:cs="Arial"/>
      <w:i/>
      <w:iCs/>
      <w:sz w:val="22"/>
      <w:szCs w:val="22"/>
    </w:rPr>
  </w:style>
  <w:style w:type="character" w:styleId="756" w:customStyle="1">
    <w:name w:val="Heading 9 Char"/>
    <w:basedOn w:val="715"/>
    <w:uiPriority w:val="9"/>
    <w:qFormat/>
    <w:rPr>
      <w:rFonts w:ascii="Arial" w:hAnsi="Arial" w:eastAsia="Arial" w:cs="Arial"/>
      <w:i/>
      <w:iCs/>
      <w:sz w:val="21"/>
      <w:szCs w:val="21"/>
    </w:rPr>
  </w:style>
  <w:style w:type="character" w:styleId="757" w:customStyle="1">
    <w:name w:val="Title Char"/>
    <w:basedOn w:val="715"/>
    <w:uiPriority w:val="10"/>
    <w:qFormat/>
    <w:rPr>
      <w:sz w:val="48"/>
      <w:szCs w:val="48"/>
    </w:rPr>
  </w:style>
  <w:style w:type="character" w:styleId="758" w:customStyle="1">
    <w:name w:val="Subtitle Char"/>
    <w:basedOn w:val="715"/>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715"/>
    <w:uiPriority w:val="99"/>
    <w:qFormat/>
  </w:style>
  <w:style w:type="character" w:styleId="762" w:customStyle="1">
    <w:name w:val="Caption Char"/>
    <w:uiPriority w:val="99"/>
    <w:qFormat/>
  </w:style>
  <w:style w:type="table" w:styleId="763" w:customStyle="1">
    <w:name w:val="Plain Table 1"/>
    <w:basedOn w:val="7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3"/>
    <w:basedOn w:val="7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7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5 Dark"/>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6 Colorful"/>
    <w:basedOn w:val="7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7 Colorful"/>
    <w:basedOn w:val="7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List Table 1 Light"/>
    <w:basedOn w:val="7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2"/>
    <w:basedOn w:val="7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3"/>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5 Dark"/>
    <w:basedOn w:val="7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basedOn w:val="716"/>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7 Colorful"/>
    <w:basedOn w:val="716"/>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Heading"/>
    <w:uiPriority w:val="39"/>
    <w:unhideWhenUsed/>
    <w:qFormat/>
    <w:rPr>
      <w:rFonts w:hint="default" w:ascii="Times New Roman" w:hAnsi="Times New Roman" w:eastAsia="宋体" w:cs="Times New Roman"/>
    </w:rPr>
  </w:style>
  <w:style w:type="paragraph" w:styleId="785" w:customStyle="1">
    <w:name w:val="段"/>
    <w:basedOn w:val="786"/>
    <w:next w:val="786"/>
    <w:uiPriority w:val="99"/>
    <w:qFormat/>
    <w:pPr>
      <w:ind w:firstLine="200"/>
      <w:widowControl/>
    </w:pPr>
    <w:rPr>
      <w:rFonts w:ascii="宋体"/>
      <w:sz w:val="20"/>
      <w:szCs w:val="20"/>
    </w:rPr>
  </w:style>
  <w:style w:type="paragraph" w:styleId="786" w:customStyle="1">
    <w:name w:val="正文11"/>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首行缩进11"/>
    <w:basedOn w:val="788"/>
    <w:next w:val="793"/>
    <w:uiPriority w:val="0"/>
    <w:qFormat/>
    <w:pPr>
      <w:ind w:firstLine="200"/>
      <w:spacing w:line="360" w:lineRule="auto"/>
      <w:tabs>
        <w:tab w:val="left" w:pos="420" w:leader="none"/>
      </w:tabs>
    </w:pPr>
    <w:rPr>
      <w:rFonts w:ascii="仿宋_GB2312" w:hAnsi="Calibri" w:eastAsia="仿宋_GB2312"/>
      <w:sz w:val="30"/>
      <w:szCs w:val="30"/>
    </w:rPr>
  </w:style>
  <w:style w:type="paragraph" w:styleId="788" w:customStyle="1">
    <w:name w:val="正文文本1"/>
    <w:basedOn w:val="789"/>
    <w:next w:val="795"/>
    <w:uiPriority w:val="0"/>
    <w:qFormat/>
    <w:pPr>
      <w:tabs>
        <w:tab w:val="left" w:pos="420" w:leader="none"/>
      </w:tabs>
    </w:pPr>
    <w:rPr>
      <w:rFonts w:eastAsia="黑体"/>
      <w:bCs/>
      <w:spacing w:val="20"/>
      <w:sz w:val="56"/>
    </w:rPr>
  </w:style>
  <w:style w:type="paragraph" w:styleId="789" w:customStyle="1">
    <w:name w:val="正文13"/>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正文首行缩进1"/>
    <w:basedOn w:val="791"/>
    <w:next w:val="793"/>
    <w:uiPriority w:val="0"/>
    <w:qFormat/>
    <w:pPr>
      <w:ind w:firstLine="100"/>
      <w:tabs>
        <w:tab w:val="left" w:pos="180" w:leader="none"/>
      </w:tabs>
    </w:pPr>
  </w:style>
  <w:style w:type="paragraph" w:styleId="791" w:customStyle="1">
    <w:name w:val="正文文本11"/>
    <w:basedOn w:val="792"/>
    <w:next w:val="786"/>
    <w:uiPriority w:val="0"/>
    <w:qFormat/>
    <w:pPr>
      <w:spacing w:after="120"/>
    </w:pPr>
  </w:style>
  <w:style w:type="paragraph" w:styleId="792" w:customStyle="1">
    <w:name w:val="正文112"/>
    <w:next w:val="7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customStyle="1">
    <w:name w:val="正文首行缩进 211"/>
    <w:basedOn w:val="794"/>
    <w:uiPriority w:val="0"/>
    <w:qFormat/>
    <w:pPr>
      <w:ind w:left="0" w:firstLine="420"/>
      <w:spacing w:after="0"/>
    </w:pPr>
    <w:rPr>
      <w:sz w:val="24"/>
    </w:rPr>
  </w:style>
  <w:style w:type="paragraph" w:styleId="794" w:customStyle="1">
    <w:name w:val="正文文本缩进11"/>
    <w:basedOn w:val="792"/>
    <w:next w:val="792"/>
    <w:uiPriority w:val="0"/>
    <w:qFormat/>
    <w:pPr>
      <w:ind w:left="420"/>
      <w:spacing w:after="120"/>
    </w:pPr>
  </w:style>
  <w:style w:type="paragraph" w:styleId="795" w:customStyle="1">
    <w:name w:val="一级条标题"/>
    <w:basedOn w:val="796"/>
    <w:next w:val="785"/>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96" w:customStyle="1">
    <w:name w:val="章标题"/>
    <w:next w:val="705"/>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797" w:customStyle="1">
    <w:name w:val="正文111"/>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customStyle="1">
    <w:name w:val="正文首行缩进 21"/>
    <w:basedOn w:val="799"/>
    <w:next w:val="797"/>
    <w:uiPriority w:val="0"/>
    <w:qFormat/>
    <w:pPr>
      <w:ind w:left="0" w:firstLine="420"/>
      <w:spacing w:after="0" w:line="360" w:lineRule="auto"/>
    </w:pPr>
    <w:rPr>
      <w:rFonts w:ascii="宋体" w:hAnsi="宋体"/>
      <w:sz w:val="20"/>
      <w:szCs w:val="20"/>
    </w:rPr>
  </w:style>
  <w:style w:type="paragraph" w:styleId="799" w:customStyle="1">
    <w:name w:val="正文文本缩进1"/>
    <w:basedOn w:val="786"/>
    <w:next w:val="800"/>
    <w:uiPriority w:val="0"/>
    <w:qFormat/>
    <w:pPr>
      <w:ind w:left="420"/>
      <w:spacing w:after="120"/>
    </w:pPr>
  </w:style>
  <w:style w:type="paragraph" w:styleId="800" w:customStyle="1">
    <w:name w:val="寄信人地址1"/>
    <w:basedOn w:val="705"/>
    <w:uiPriority w:val="99"/>
    <w:unhideWhenUsed/>
    <w:qFormat/>
    <w:rPr>
      <w:rFonts w:ascii="Arial" w:hAnsi="Arial"/>
    </w:rPr>
  </w:style>
  <w:style w:type="paragraph" w:styleId="801" w:customStyle="1">
    <w:name w:val="正文1"/>
    <w:basedOn w:val="705"/>
    <w:next w:val="802"/>
    <w:uiPriority w:val="0"/>
    <w:qFormat/>
    <w:pPr>
      <w:ind w:firstLine="432"/>
      <w:spacing w:line="360" w:lineRule="auto"/>
      <w:tabs>
        <w:tab w:val="left" w:pos="420" w:leader="none"/>
      </w:tabs>
    </w:pPr>
    <w:rPr>
      <w:rFonts w:ascii="宋体" w:hAnsi="宋体"/>
      <w:b/>
      <w:sz w:val="24"/>
    </w:rPr>
  </w:style>
  <w:style w:type="paragraph" w:styleId="802" w:customStyle="1">
    <w:name w:val="标题 21"/>
    <w:basedOn w:val="705"/>
    <w:next w:val="786"/>
    <w:link w:val="963"/>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03" w:customStyle="1">
    <w:name w:val="正文12"/>
    <w:next w:val="8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customStyle="1">
    <w:name w:val="列出段落1"/>
    <w:basedOn w:val="805"/>
    <w:next w:val="806"/>
    <w:uiPriority w:val="0"/>
    <w:qFormat/>
    <w:pPr>
      <w:ind w:left="480"/>
      <w:jc w:val="left"/>
    </w:pPr>
    <w:rPr>
      <w:rFonts w:eastAsia="PMingLiU"/>
      <w:sz w:val="24"/>
      <w:szCs w:val="20"/>
      <w:lang w:eastAsia="zh-TW"/>
    </w:rPr>
  </w:style>
  <w:style w:type="paragraph" w:styleId="805"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标题 71"/>
    <w:basedOn w:val="792"/>
    <w:next w:val="792"/>
    <w:uiPriority w:val="0"/>
    <w:qFormat/>
    <w:pPr>
      <w:numPr>
        <w:ilvl w:val="6"/>
        <w:numId w:val="1"/>
      </w:numPr>
      <w:keepLines/>
      <w:keepNext/>
      <w:spacing w:before="240" w:after="64" w:line="320" w:lineRule="auto"/>
      <w:outlineLvl w:val="6"/>
    </w:pPr>
    <w:rPr>
      <w:b/>
      <w:bCs/>
      <w:sz w:val="24"/>
    </w:rPr>
  </w:style>
  <w:style w:type="paragraph" w:styleId="807" w:customStyle="1">
    <w:name w:val="寄信人地址11"/>
    <w:basedOn w:val="705"/>
    <w:uiPriority w:val="99"/>
    <w:unhideWhenUsed/>
    <w:qFormat/>
    <w:rPr>
      <w:rFonts w:ascii="Arial" w:hAnsi="Arial"/>
    </w:rPr>
  </w:style>
  <w:style w:type="paragraph" w:styleId="808" w:customStyle="1">
    <w:name w:val="正文缩进1"/>
    <w:basedOn w:val="705"/>
    <w:next w:val="786"/>
    <w:uiPriority w:val="99"/>
    <w:unhideWhenUsed/>
    <w:qFormat/>
    <w:pPr>
      <w:ind w:firstLine="420"/>
    </w:pPr>
  </w:style>
  <w:style w:type="character" w:styleId="809" w:customStyle="1">
    <w:name w:val="Heading 1 Char"/>
    <w:uiPriority w:val="9"/>
    <w:qFormat/>
    <w:rPr>
      <w:rFonts w:ascii="Arial" w:hAnsi="Arial" w:eastAsia="Arial" w:cs="Arial"/>
      <w:sz w:val="40"/>
      <w:szCs w:val="40"/>
    </w:rPr>
  </w:style>
  <w:style w:type="character" w:styleId="810" w:customStyle="1">
    <w:name w:val="标题 2 字符"/>
    <w:link w:val="707"/>
    <w:uiPriority w:val="9"/>
    <w:qFormat/>
    <w:rPr>
      <w:rFonts w:ascii="Arial" w:hAnsi="Arial" w:eastAsia="Arial" w:cs="Arial"/>
      <w:sz w:val="34"/>
    </w:rPr>
  </w:style>
  <w:style w:type="character" w:styleId="811" w:customStyle="1">
    <w:name w:val="标题 3 字符"/>
    <w:link w:val="708"/>
    <w:uiPriority w:val="9"/>
    <w:qFormat/>
    <w:rPr>
      <w:rFonts w:ascii="Arial" w:hAnsi="Arial" w:eastAsia="Arial" w:cs="Arial"/>
      <w:sz w:val="30"/>
      <w:szCs w:val="30"/>
    </w:rPr>
  </w:style>
  <w:style w:type="character" w:styleId="812" w:customStyle="1">
    <w:name w:val="标题 4 字符"/>
    <w:link w:val="709"/>
    <w:uiPriority w:val="9"/>
    <w:qFormat/>
    <w:rPr>
      <w:rFonts w:ascii="Arial" w:hAnsi="Arial" w:eastAsia="Arial" w:cs="Arial"/>
      <w:b/>
      <w:bCs/>
      <w:sz w:val="26"/>
      <w:szCs w:val="26"/>
    </w:rPr>
  </w:style>
  <w:style w:type="character" w:styleId="813" w:customStyle="1">
    <w:name w:val="标题 5 字符"/>
    <w:link w:val="710"/>
    <w:uiPriority w:val="9"/>
    <w:qFormat/>
    <w:rPr>
      <w:rFonts w:ascii="Arial" w:hAnsi="Arial" w:eastAsia="Arial" w:cs="Arial"/>
      <w:b/>
      <w:bCs/>
      <w:sz w:val="24"/>
      <w:szCs w:val="24"/>
    </w:rPr>
  </w:style>
  <w:style w:type="character" w:styleId="814" w:customStyle="1">
    <w:name w:val="标题 6 字符"/>
    <w:link w:val="711"/>
    <w:uiPriority w:val="9"/>
    <w:qFormat/>
    <w:rPr>
      <w:rFonts w:ascii="Arial" w:hAnsi="Arial" w:eastAsia="Arial" w:cs="Arial"/>
      <w:b/>
      <w:bCs/>
      <w:sz w:val="22"/>
      <w:szCs w:val="22"/>
    </w:rPr>
  </w:style>
  <w:style w:type="character" w:styleId="815" w:customStyle="1">
    <w:name w:val="标题 7 字符"/>
    <w:link w:val="712"/>
    <w:uiPriority w:val="9"/>
    <w:qFormat/>
    <w:rPr>
      <w:rFonts w:ascii="Arial" w:hAnsi="Arial" w:eastAsia="Arial" w:cs="Arial"/>
      <w:b/>
      <w:bCs/>
      <w:i/>
      <w:iCs/>
      <w:sz w:val="22"/>
      <w:szCs w:val="22"/>
    </w:rPr>
  </w:style>
  <w:style w:type="character" w:styleId="816" w:customStyle="1">
    <w:name w:val="标题 8 字符"/>
    <w:link w:val="713"/>
    <w:uiPriority w:val="9"/>
    <w:qFormat/>
    <w:rPr>
      <w:rFonts w:ascii="Arial" w:hAnsi="Arial" w:eastAsia="Arial" w:cs="Arial"/>
      <w:i/>
      <w:iCs/>
      <w:sz w:val="22"/>
      <w:szCs w:val="22"/>
    </w:rPr>
  </w:style>
  <w:style w:type="character" w:styleId="817" w:customStyle="1">
    <w:name w:val="标题 9 字符"/>
    <w:link w:val="714"/>
    <w:uiPriority w:val="9"/>
    <w:qFormat/>
    <w:rPr>
      <w:rFonts w:ascii="Arial" w:hAnsi="Arial" w:eastAsia="Arial" w:cs="Arial"/>
      <w:i/>
      <w:iCs/>
      <w:sz w:val="21"/>
      <w:szCs w:val="21"/>
    </w:rPr>
  </w:style>
  <w:style w:type="paragraph" w:styleId="818">
    <w:name w:val="List Paragraph"/>
    <w:basedOn w:val="705"/>
    <w:uiPriority w:val="34"/>
    <w:qFormat/>
    <w:pPr>
      <w:contextualSpacing/>
      <w:ind w:left="720"/>
    </w:pPr>
  </w:style>
  <w:style w:type="paragraph" w:styleId="819">
    <w:name w:val="No Spacing"/>
    <w:uiPriority w:val="1"/>
    <w:qFormat/>
    <w:rPr>
      <w:rFonts w:hint="default" w:ascii="Times New Roman" w:hAnsi="Times New Roman" w:eastAsia="宋体" w:cs="Times New Roman"/>
      <w:lang w:val="en-US" w:eastAsia="zh-CN" w:bidi="ar-SA"/>
    </w:rPr>
  </w:style>
  <w:style w:type="character" w:styleId="820" w:customStyle="1">
    <w:name w:val="标题 字符"/>
    <w:link w:val="740"/>
    <w:uiPriority w:val="10"/>
    <w:qFormat/>
    <w:rPr>
      <w:sz w:val="48"/>
      <w:szCs w:val="48"/>
    </w:rPr>
  </w:style>
  <w:style w:type="character" w:styleId="821" w:customStyle="1">
    <w:name w:val="副标题 字符"/>
    <w:link w:val="734"/>
    <w:uiPriority w:val="11"/>
    <w:qFormat/>
    <w:rPr>
      <w:sz w:val="24"/>
      <w:szCs w:val="24"/>
    </w:rPr>
  </w:style>
  <w:style w:type="paragraph" w:styleId="822">
    <w:name w:val="Quote"/>
    <w:basedOn w:val="705"/>
    <w:next w:val="705"/>
    <w:link w:val="823"/>
    <w:uiPriority w:val="29"/>
    <w:qFormat/>
    <w:pPr>
      <w:ind w:left="720" w:right="720"/>
    </w:pPr>
    <w:rPr>
      <w:i/>
    </w:rPr>
  </w:style>
  <w:style w:type="character" w:styleId="823" w:customStyle="1">
    <w:name w:val="引用 字符"/>
    <w:link w:val="822"/>
    <w:uiPriority w:val="29"/>
    <w:qFormat/>
    <w:rPr>
      <w:i/>
    </w:rPr>
  </w:style>
  <w:style w:type="paragraph" w:styleId="824">
    <w:name w:val="Intense Quote"/>
    <w:basedOn w:val="705"/>
    <w:next w:val="705"/>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character" w:styleId="826" w:customStyle="1">
    <w:name w:val="页眉 字符"/>
    <w:link w:val="731"/>
    <w:uiPriority w:val="99"/>
    <w:qFormat/>
  </w:style>
  <w:style w:type="character" w:styleId="827" w:customStyle="1">
    <w:name w:val="Footer Char"/>
    <w:uiPriority w:val="99"/>
    <w:qFormat/>
  </w:style>
  <w:style w:type="character" w:styleId="828" w:customStyle="1">
    <w:name w:val="页脚 字符"/>
    <w:link w:val="729"/>
    <w:uiPriority w:val="99"/>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脚注文本 字符"/>
    <w:link w:val="735"/>
    <w:uiPriority w:val="99"/>
    <w:qFormat/>
    <w:rPr>
      <w:sz w:val="18"/>
    </w:rPr>
  </w:style>
  <w:style w:type="character" w:styleId="955" w:customStyle="1">
    <w:name w:val="尾注文本 字符"/>
    <w:link w:val="728"/>
    <w:uiPriority w:val="99"/>
    <w:qFormat/>
    <w:rPr>
      <w:sz w:val="20"/>
    </w:rPr>
  </w:style>
  <w:style w:type="paragraph" w:styleId="956" w:customStyle="1">
    <w:name w:val="TOC 标题1"/>
    <w:uiPriority w:val="39"/>
    <w:unhideWhenUsed/>
    <w:qFormat/>
    <w:rPr>
      <w:rFonts w:hint="default" w:ascii="Times New Roman" w:hAnsi="Times New Roman" w:eastAsia="宋体" w:cs="Times New Roman"/>
      <w:lang w:val="en-US" w:eastAsia="zh-CN" w:bidi="ar-SA"/>
    </w:rPr>
  </w:style>
  <w:style w:type="paragraph" w:styleId="957" w:customStyle="1">
    <w:name w:val="标题 11"/>
    <w:basedOn w:val="705"/>
    <w:next w:val="705"/>
    <w:link w:val="962"/>
    <w:uiPriority w:val="0"/>
    <w:qFormat/>
    <w:pPr>
      <w:keepLines/>
      <w:keepNext/>
      <w:spacing w:before="340" w:after="330" w:line="576" w:lineRule="auto"/>
      <w:outlineLvl w:val="0"/>
    </w:pPr>
    <w:rPr>
      <w:b/>
      <w:sz w:val="44"/>
      <w:szCs w:val="20"/>
    </w:rPr>
  </w:style>
  <w:style w:type="paragraph" w:styleId="958" w:customStyle="1">
    <w:name w:val="标题 31"/>
    <w:basedOn w:val="705"/>
    <w:next w:val="705"/>
    <w:uiPriority w:val="1"/>
    <w:qFormat/>
    <w:pPr>
      <w:ind w:left="50" w:right="31"/>
      <w:jc w:val="center"/>
      <w:spacing w:before="39"/>
      <w:outlineLvl w:val="2"/>
    </w:pPr>
    <w:rPr>
      <w:sz w:val="30"/>
      <w:szCs w:val="30"/>
    </w:rPr>
  </w:style>
  <w:style w:type="paragraph" w:styleId="959" w:customStyle="1">
    <w:name w:val="标题 411"/>
    <w:basedOn w:val="705"/>
    <w:next w:val="705"/>
    <w:uiPriority w:val="0"/>
    <w:qFormat/>
    <w:pPr>
      <w:keepLines/>
      <w:keepNext/>
      <w:spacing w:before="280" w:after="290" w:line="376" w:lineRule="auto"/>
      <w:outlineLvl w:val="3"/>
    </w:pPr>
    <w:rPr>
      <w:rFonts w:ascii="Cambria" w:hAnsi="Cambria"/>
      <w:b/>
      <w:bCs/>
      <w:sz w:val="28"/>
      <w:szCs w:val="28"/>
    </w:rPr>
  </w:style>
  <w:style w:type="character" w:styleId="960" w:customStyle="1">
    <w:name w:val="默认段落字体1"/>
    <w:uiPriority w:val="0"/>
    <w:qFormat/>
    <w:rPr>
      <w:rFonts w:ascii="Times New Roman" w:hAnsi="Times New Roman" w:eastAsia="宋体" w:cs="Times New Roman"/>
    </w:rPr>
  </w:style>
  <w:style w:type="table" w:styleId="961" w:customStyle="1">
    <w:name w:val="普通表格1"/>
    <w:uiPriority w:val="0"/>
    <w:qFormat/>
    <w:tblPr>
      <w:tblLayout w:type="fixed"/>
      <w:tblCellMar>
        <w:left w:w="0" w:type="dxa"/>
        <w:top w:w="0" w:type="dxa"/>
        <w:right w:w="0" w:type="dxa"/>
        <w:bottom w:w="0" w:type="dxa"/>
      </w:tblCellMar>
    </w:tblPr>
  </w:style>
  <w:style w:type="character" w:styleId="962" w:customStyle="1">
    <w:name w:val="标题 1 Char"/>
    <w:link w:val="957"/>
    <w:uiPriority w:val="0"/>
    <w:qFormat/>
    <w:rPr>
      <w:b/>
      <w:sz w:val="44"/>
    </w:rPr>
  </w:style>
  <w:style w:type="character" w:styleId="963" w:customStyle="1">
    <w:name w:val="标题 2 Char"/>
    <w:link w:val="802"/>
    <w:uiPriority w:val="0"/>
    <w:qFormat/>
    <w:rPr>
      <w:rFonts w:ascii="Cambria" w:hAnsi="Cambria" w:eastAsia="宋体" w:cs="Times New Roman"/>
      <w:b/>
      <w:bCs/>
      <w:sz w:val="28"/>
      <w:szCs w:val="32"/>
    </w:rPr>
  </w:style>
  <w:style w:type="paragraph" w:styleId="964" w:customStyle="1">
    <w:name w:val="索引 51"/>
    <w:basedOn w:val="705"/>
    <w:next w:val="705"/>
    <w:uiPriority w:val="0"/>
    <w:qFormat/>
    <w:pPr>
      <w:ind w:left="798"/>
      <w:jc w:val="left"/>
    </w:pPr>
    <w:rPr>
      <w:rFonts w:ascii="Calibri" w:hAnsi="Calibri"/>
    </w:rPr>
  </w:style>
  <w:style w:type="paragraph" w:styleId="965" w:customStyle="1">
    <w:name w:val="批注文字1"/>
    <w:basedOn w:val="705"/>
    <w:link w:val="966"/>
    <w:uiPriority w:val="0"/>
    <w:qFormat/>
    <w:pPr>
      <w:jc w:val="left"/>
    </w:pPr>
  </w:style>
  <w:style w:type="character" w:styleId="966" w:customStyle="1">
    <w:name w:val="批注文字 Char"/>
    <w:link w:val="965"/>
    <w:uiPriority w:val="0"/>
    <w:qFormat/>
    <w:rPr>
      <w:rFonts w:ascii="Times New Roman" w:hAnsi="Times New Roman" w:eastAsia="宋体" w:cs="Times New Roman"/>
      <w:sz w:val="21"/>
      <w:szCs w:val="24"/>
    </w:rPr>
  </w:style>
  <w:style w:type="paragraph" w:styleId="967" w:customStyle="1">
    <w:name w:val="列表 21"/>
    <w:basedOn w:val="705"/>
    <w:uiPriority w:val="0"/>
    <w:qFormat/>
    <w:pPr>
      <w:ind w:left="100" w:hanging="200"/>
    </w:pPr>
  </w:style>
  <w:style w:type="paragraph" w:styleId="968" w:customStyle="1">
    <w:name w:val="文本块1"/>
    <w:basedOn w:val="705"/>
    <w:next w:val="705"/>
    <w:uiPriority w:val="0"/>
    <w:qFormat/>
    <w:pPr>
      <w:ind w:left="256" w:right="6" w:firstLine="624"/>
    </w:pPr>
    <w:rPr>
      <w:rFonts w:eastAsia="仿宋_GB2312"/>
      <w:sz w:val="28"/>
      <w:szCs w:val="20"/>
    </w:rPr>
  </w:style>
  <w:style w:type="paragraph" w:styleId="969" w:customStyle="1">
    <w:name w:val="纯文本1"/>
    <w:basedOn w:val="705"/>
    <w:link w:val="970"/>
    <w:uiPriority w:val="0"/>
    <w:qFormat/>
    <w:rPr>
      <w:rFonts w:ascii="宋体" w:hAnsi="Courier New"/>
      <w:szCs w:val="21"/>
    </w:rPr>
  </w:style>
  <w:style w:type="character" w:styleId="970" w:customStyle="1">
    <w:name w:val="纯文本 Char"/>
    <w:link w:val="969"/>
    <w:uiPriority w:val="0"/>
    <w:qFormat/>
    <w:rPr>
      <w:rFonts w:ascii="宋体" w:hAnsi="Courier New" w:eastAsia="宋体" w:cs="Times New Roman"/>
      <w:sz w:val="21"/>
      <w:szCs w:val="21"/>
      <w:lang w:bidi="ar-SA"/>
    </w:rPr>
  </w:style>
  <w:style w:type="paragraph" w:styleId="971" w:customStyle="1">
    <w:name w:val="正文文本缩进 21"/>
    <w:basedOn w:val="705"/>
    <w:uiPriority w:val="99"/>
    <w:qFormat/>
    <w:pPr>
      <w:ind w:left="630" w:firstLine="645"/>
    </w:pPr>
    <w:rPr>
      <w:rFonts w:ascii="Arial" w:hAnsi="Arial" w:eastAsia="仿宋_GB2312" w:cs="Arial"/>
      <w:sz w:val="32"/>
      <w:szCs w:val="32"/>
    </w:rPr>
  </w:style>
  <w:style w:type="paragraph" w:styleId="972" w:customStyle="1">
    <w:name w:val="批注框文本1"/>
    <w:basedOn w:val="705"/>
    <w:link w:val="973"/>
    <w:uiPriority w:val="0"/>
    <w:qFormat/>
    <w:rPr>
      <w:sz w:val="18"/>
      <w:szCs w:val="18"/>
    </w:rPr>
  </w:style>
  <w:style w:type="character" w:styleId="973" w:customStyle="1">
    <w:name w:val="批注框文本 Char"/>
    <w:link w:val="972"/>
    <w:uiPriority w:val="0"/>
    <w:qFormat/>
    <w:rPr>
      <w:rFonts w:ascii="Times New Roman" w:hAnsi="Times New Roman" w:eastAsia="宋体" w:cs="Times New Roman"/>
      <w:sz w:val="18"/>
      <w:szCs w:val="18"/>
    </w:rPr>
  </w:style>
  <w:style w:type="paragraph" w:styleId="974" w:customStyle="1">
    <w:name w:val="页脚1"/>
    <w:basedOn w:val="705"/>
    <w:link w:val="975"/>
    <w:uiPriority w:val="99"/>
    <w:qFormat/>
    <w:pPr>
      <w:jc w:val="left"/>
      <w:tabs>
        <w:tab w:val="center" w:pos="4153" w:leader="none"/>
        <w:tab w:val="right" w:pos="8306" w:leader="none"/>
      </w:tabs>
    </w:pPr>
    <w:rPr>
      <w:sz w:val="18"/>
      <w:szCs w:val="18"/>
    </w:rPr>
  </w:style>
  <w:style w:type="character" w:styleId="975" w:customStyle="1">
    <w:name w:val="页脚 Char"/>
    <w:link w:val="974"/>
    <w:uiPriority w:val="99"/>
    <w:qFormat/>
    <w:rPr>
      <w:sz w:val="18"/>
      <w:szCs w:val="18"/>
    </w:rPr>
  </w:style>
  <w:style w:type="paragraph" w:styleId="976" w:customStyle="1">
    <w:name w:val="页眉1"/>
    <w:basedOn w:val="705"/>
    <w:link w:val="977"/>
    <w:uiPriority w:val="99"/>
    <w:qFormat/>
    <w:pPr>
      <w:jc w:val="center"/>
      <w:tabs>
        <w:tab w:val="center" w:pos="4153" w:leader="none"/>
        <w:tab w:val="right" w:pos="8306" w:leader="none"/>
      </w:tabs>
      <w:pBdr>
        <w:bottom w:val="single" w:color="000000" w:sz="6" w:space="1"/>
      </w:pBdr>
    </w:pPr>
    <w:rPr>
      <w:sz w:val="18"/>
      <w:szCs w:val="18"/>
    </w:rPr>
  </w:style>
  <w:style w:type="character" w:styleId="977" w:customStyle="1">
    <w:name w:val="页眉 Char"/>
    <w:link w:val="976"/>
    <w:uiPriority w:val="99"/>
    <w:qFormat/>
    <w:rPr>
      <w:sz w:val="18"/>
      <w:szCs w:val="18"/>
    </w:rPr>
  </w:style>
  <w:style w:type="paragraph" w:styleId="978" w:customStyle="1">
    <w:name w:val="脚注文本1"/>
    <w:basedOn w:val="705"/>
    <w:next w:val="964"/>
    <w:uiPriority w:val="0"/>
    <w:qFormat/>
    <w:pPr>
      <w:jc w:val="left"/>
    </w:pPr>
    <w:rPr>
      <w:rFonts w:ascii="宋体" w:eastAsia="Times New Roman"/>
      <w:sz w:val="18"/>
      <w:szCs w:val="18"/>
    </w:rPr>
  </w:style>
  <w:style w:type="paragraph" w:styleId="979" w:customStyle="1">
    <w:name w:val="普通(网站)1"/>
    <w:basedOn w:val="705"/>
    <w:uiPriority w:val="0"/>
    <w:qFormat/>
    <w:pPr>
      <w:jc w:val="left"/>
      <w:spacing w:before="100" w:beforeAutospacing="1" w:after="100" w:afterAutospacing="1"/>
      <w:widowControl/>
    </w:pPr>
    <w:rPr>
      <w:rFonts w:ascii="宋体" w:hAnsi="宋体" w:cs="宋体"/>
      <w:sz w:val="24"/>
    </w:rPr>
  </w:style>
  <w:style w:type="paragraph" w:styleId="980" w:customStyle="1">
    <w:name w:val="标题1"/>
    <w:basedOn w:val="705"/>
    <w:next w:val="705"/>
    <w:uiPriority w:val="10"/>
    <w:qFormat/>
    <w:pPr>
      <w:jc w:val="center"/>
      <w:spacing w:before="240" w:after="60"/>
      <w:outlineLvl w:val="0"/>
    </w:pPr>
    <w:rPr>
      <w:rFonts w:ascii="Cambria" w:hAnsi="Cambria"/>
      <w:b/>
      <w:bCs/>
      <w:sz w:val="32"/>
      <w:szCs w:val="32"/>
    </w:rPr>
  </w:style>
  <w:style w:type="paragraph" w:styleId="981" w:customStyle="1">
    <w:name w:val="批注主题1"/>
    <w:basedOn w:val="965"/>
    <w:next w:val="965"/>
    <w:link w:val="982"/>
    <w:uiPriority w:val="0"/>
    <w:qFormat/>
    <w:rPr>
      <w:b/>
      <w:bCs/>
    </w:rPr>
  </w:style>
  <w:style w:type="character" w:styleId="982" w:customStyle="1">
    <w:name w:val="批注主题 Char"/>
    <w:link w:val="981"/>
    <w:uiPriority w:val="0"/>
    <w:qFormat/>
    <w:rPr>
      <w:rFonts w:ascii="Times New Roman" w:hAnsi="Times New Roman" w:eastAsia="宋体" w:cs="Times New Roman"/>
      <w:b/>
      <w:bCs/>
      <w:sz w:val="21"/>
      <w:szCs w:val="24"/>
    </w:rPr>
  </w:style>
  <w:style w:type="table" w:styleId="983" w:customStyle="1">
    <w:name w:val="网格型1"/>
    <w:basedOn w:val="961"/>
    <w:uiPriority w:val="0"/>
    <w:qFormat/>
    <w:tblPr>
      <w:tblLayout w:type="fixed"/>
      <w:tblCellMar>
        <w:left w:w="0" w:type="dxa"/>
        <w:top w:w="0" w:type="dxa"/>
        <w:right w:w="0" w:type="dxa"/>
        <w:bottom w:w="0" w:type="dxa"/>
      </w:tblCellMar>
    </w:tblPr>
  </w:style>
  <w:style w:type="character" w:styleId="984" w:customStyle="1">
    <w:name w:val="页码1"/>
    <w:basedOn w:val="960"/>
    <w:uiPriority w:val="0"/>
    <w:qFormat/>
    <w:rPr>
      <w:rFonts w:ascii="Times New Roman" w:hAnsi="Times New Roman" w:eastAsia="宋体" w:cs="Times New Roman"/>
    </w:rPr>
  </w:style>
  <w:style w:type="character" w:styleId="985" w:customStyle="1">
    <w:name w:val="已访问的超链接1"/>
    <w:uiPriority w:val="0"/>
    <w:qFormat/>
    <w:rPr>
      <w:color w:val="771caa"/>
      <w:u w:val="none"/>
    </w:rPr>
  </w:style>
  <w:style w:type="character" w:styleId="986" w:customStyle="1">
    <w:name w:val="强调1"/>
    <w:uiPriority w:val="0"/>
    <w:qFormat/>
    <w:rPr>
      <w:color w:val="f73131"/>
    </w:rPr>
  </w:style>
  <w:style w:type="character" w:styleId="987" w:customStyle="1">
    <w:name w:val="超链接1"/>
    <w:uiPriority w:val="99"/>
    <w:unhideWhenUsed/>
    <w:qFormat/>
    <w:rPr>
      <w:color w:val="2440b3"/>
      <w:u w:val="none"/>
    </w:rPr>
  </w:style>
  <w:style w:type="character" w:styleId="988" w:customStyle="1">
    <w:name w:val="批注引用1"/>
    <w:uiPriority w:val="0"/>
    <w:qFormat/>
    <w:rPr>
      <w:rFonts w:ascii="Times New Roman" w:hAnsi="Times New Roman" w:eastAsia="宋体" w:cs="Times New Roman"/>
      <w:sz w:val="21"/>
      <w:szCs w:val="21"/>
    </w:rPr>
  </w:style>
  <w:style w:type="character" w:styleId="989" w:customStyle="1">
    <w:name w:val="HTML 引文1"/>
    <w:uiPriority w:val="0"/>
    <w:qFormat/>
    <w:rPr>
      <w:color w:val="008000"/>
    </w:rPr>
  </w:style>
  <w:style w:type="paragraph" w:styleId="990" w:customStyle="1">
    <w:name w:val="样式 正文文本缩进 + 首行缩进:  2 字符 行距: 1.5 倍行距"/>
    <w:basedOn w:val="799"/>
    <w:uiPriority w:val="0"/>
    <w:qFormat/>
    <w:pPr>
      <w:ind w:firstLine="645"/>
      <w:spacing w:before="156"/>
    </w:pPr>
    <w:rPr>
      <w:rFonts w:ascii="Calibri" w:hAnsi="Calibri" w:cs="宋体"/>
      <w:sz w:val="28"/>
    </w:rPr>
  </w:style>
  <w:style w:type="paragraph" w:styleId="991" w:customStyle="1">
    <w:name w:val="首行缩进"/>
    <w:basedOn w:val="705"/>
    <w:next w:val="705"/>
    <w:uiPriority w:val="0"/>
    <w:qFormat/>
    <w:pPr>
      <w:ind w:firstLine="480"/>
      <w:spacing w:line="360" w:lineRule="auto"/>
    </w:pPr>
    <w:rPr>
      <w:rFonts w:ascii="宋体" w:hAnsi="宋体" w:cs="宋体"/>
      <w:sz w:val="24"/>
    </w:rPr>
  </w:style>
  <w:style w:type="paragraph" w:styleId="992" w:customStyle="1">
    <w:name w:val="表格文字"/>
    <w:basedOn w:val="705"/>
    <w:next w:val="791"/>
    <w:uiPriority w:val="0"/>
    <w:qFormat/>
    <w:pPr>
      <w:jc w:val="left"/>
    </w:pPr>
    <w:rPr>
      <w:bCs/>
      <w:spacing w:val="10"/>
      <w:szCs w:val="20"/>
    </w:rPr>
  </w:style>
  <w:style w:type="character" w:styleId="993" w:customStyle="1">
    <w:name w:val="无间隔 Char"/>
    <w:link w:val="994"/>
    <w:uiPriority w:val="1"/>
    <w:qFormat/>
    <w:rPr>
      <w:sz w:val="22"/>
      <w:szCs w:val="22"/>
      <w:lang w:val="en-US" w:eastAsia="zh-CN" w:bidi="ar-SA"/>
    </w:rPr>
  </w:style>
  <w:style w:type="paragraph" w:styleId="994" w:customStyle="1">
    <w:name w:val="无间隔1"/>
    <w:link w:val="993"/>
    <w:uiPriority w:val="1"/>
    <w:qFormat/>
    <w:rPr>
      <w:rFonts w:hint="default" w:ascii="Times New Roman" w:hAnsi="Times New Roman" w:eastAsia="宋体" w:cs="Times New Roman"/>
      <w:sz w:val="22"/>
      <w:szCs w:val="22"/>
      <w:lang w:val="en-US" w:eastAsia="zh-CN" w:bidi="ar-SA"/>
    </w:rPr>
  </w:style>
  <w:style w:type="paragraph" w:styleId="995" w:customStyle="1">
    <w:name w:val="Table Paragraph"/>
    <w:basedOn w:val="705"/>
    <w:uiPriority w:val="1"/>
    <w:qFormat/>
    <w:pPr>
      <w:jc w:val="left"/>
    </w:pPr>
    <w:rPr>
      <w:rFonts w:ascii="仿宋" w:hAnsi="仿宋" w:eastAsia="仿宋" w:cs="仿宋"/>
      <w:sz w:val="22"/>
      <w:szCs w:val="22"/>
      <w:lang w:val="zh-CN" w:bidi="zh-CN"/>
    </w:rPr>
  </w:style>
  <w:style w:type="paragraph" w:styleId="996" w:customStyle="1">
    <w:name w:val="+正文"/>
    <w:basedOn w:val="705"/>
    <w:uiPriority w:val="0"/>
    <w:qFormat/>
    <w:pPr>
      <w:ind w:firstLine="200"/>
      <w:jc w:val="left"/>
      <w:spacing w:line="500" w:lineRule="exact"/>
    </w:pPr>
    <w:rPr>
      <w:sz w:val="24"/>
      <w:szCs w:val="28"/>
    </w:rPr>
  </w:style>
  <w:style w:type="paragraph" w:styleId="997" w:customStyle="1">
    <w:name w:val="Char"/>
    <w:basedOn w:val="705"/>
    <w:uiPriority w:val="0"/>
    <w:qFormat/>
    <w:pPr>
      <w:tabs>
        <w:tab w:val="left" w:pos="360" w:leader="none"/>
      </w:tabs>
    </w:pPr>
    <w:rPr>
      <w:sz w:val="24"/>
    </w:rPr>
  </w:style>
  <w:style w:type="paragraph" w:styleId="998" w:customStyle="1">
    <w:name w:val="默认段落字体 Para Char Char Char Char Char Char Char"/>
    <w:basedOn w:val="705"/>
    <w:uiPriority w:val="0"/>
    <w:qFormat/>
    <w:rPr>
      <w:rFonts w:ascii="Tahoma" w:hAnsi="Tahoma"/>
      <w:sz w:val="24"/>
      <w:szCs w:val="20"/>
    </w:rPr>
  </w:style>
  <w:style w:type="paragraph" w:styleId="999" w:customStyle="1">
    <w:name w:val="表格3"/>
    <w:basedOn w:val="705"/>
    <w:uiPriority w:val="0"/>
    <w:qFormat/>
    <w:pPr>
      <w:jc w:val="center"/>
    </w:pPr>
  </w:style>
  <w:style w:type="paragraph" w:styleId="1000" w:customStyle="1">
    <w:name w:val="列出段落"/>
    <w:basedOn w:val="705"/>
    <w:next w:val="705"/>
    <w:uiPriority w:val="34"/>
    <w:qFormat/>
    <w:pPr>
      <w:ind w:firstLine="420"/>
      <w:jc w:val="left"/>
      <w:spacing w:line="360" w:lineRule="atLeast"/>
    </w:pPr>
    <w:rPr>
      <w:sz w:val="24"/>
    </w:rPr>
  </w:style>
  <w:style w:type="table" w:styleId="1001" w:customStyle="1">
    <w:name w:val="Table Normal"/>
    <w:uiPriority w:val="2"/>
    <w:unhideWhenUsed/>
    <w:qFormat/>
    <w:pPr>
      <w:widowControl w:val="off"/>
    </w:pPr>
    <w:rPr>
      <w:sz w:val="22"/>
      <w:szCs w:val="22"/>
      <w:lang w:eastAsia="en-US"/>
    </w:rPr>
    <w:tblPr>
      <w:tblLayout w:type="fixed"/>
      <w:tblCellMar>
        <w:left w:w="0" w:type="dxa"/>
        <w:top w:w="0" w:type="dxa"/>
        <w:right w:w="0" w:type="dxa"/>
        <w:bottom w:w="0" w:type="dxa"/>
      </w:tblCellMar>
    </w:tblPr>
  </w:style>
  <w:style w:type="paragraph" w:styleId="1002" w:customStyle="1">
    <w:name w:val="样式"/>
    <w:basedOn w:val="705"/>
    <w:uiPriority w:val="0"/>
    <w:qFormat/>
    <w:pPr>
      <w:jc w:val="left"/>
    </w:pPr>
    <w:rPr>
      <w:rFonts w:ascii="宋体" w:hAnsi="宋体" w:cs="宋体"/>
      <w:sz w:val="24"/>
    </w:rPr>
  </w:style>
  <w:style w:type="character" w:styleId="1003" w:customStyle="1">
    <w:name w:val="c-icon"/>
    <w:uiPriority w:val="0"/>
    <w:qFormat/>
  </w:style>
  <w:style w:type="character" w:styleId="1004" w:customStyle="1">
    <w:name w:val="hover24"/>
    <w:uiPriority w:val="0"/>
    <w:qFormat/>
    <w:rPr>
      <w:color w:val="315efb"/>
    </w:rPr>
  </w:style>
  <w:style w:type="character" w:styleId="1005" w:customStyle="1">
    <w:name w:val="hover25"/>
    <w:uiPriority w:val="0"/>
    <w:qFormat/>
  </w:style>
  <w:style w:type="character" w:styleId="1006" w:customStyle="1">
    <w:name w:val="hover26"/>
    <w:uiPriority w:val="0"/>
    <w:qFormat/>
  </w:style>
  <w:style w:type="character" w:styleId="1007" w:customStyle="1">
    <w:name w:val="hover27"/>
    <w:uiPriority w:val="0"/>
    <w:qFormat/>
    <w:rPr>
      <w:color w:val="315efb"/>
    </w:rPr>
  </w:style>
  <w:style w:type="character" w:styleId="1008" w:customStyle="1">
    <w:name w:val="c-icon30"/>
    <w:uiPriority w:val="0"/>
    <w:qFormat/>
  </w:style>
  <w:style w:type="character" w:styleId="1009" w:customStyle="1">
    <w:name w:val="page-cur"/>
    <w:uiPriority w:val="0"/>
    <w:qFormat/>
    <w:rPr>
      <w:color w:val="999999"/>
      <w:u w:val="none"/>
      <w:shd w:val="clear" w:color="auto" w:fill="fafafa"/>
    </w:rPr>
  </w:style>
  <w:style w:type="character" w:styleId="1010" w:customStyle="1">
    <w:name w:val="page-start"/>
    <w:uiPriority w:val="0"/>
    <w:qFormat/>
    <w:rPr>
      <w:color w:val="999999"/>
      <w:u w:val="none"/>
      <w:shd w:val="clear" w:color="auto" w:fill="fafafa"/>
    </w:rPr>
  </w:style>
  <w:style w:type="character" w:styleId="1011" w:customStyle="1">
    <w:name w:val="chewduserlogo"/>
    <w:uiPriority w:val="0"/>
    <w:qFormat/>
  </w:style>
  <w:style w:type="character" w:styleId="1012" w:customStyle="1">
    <w:name w:val="font11"/>
    <w:basedOn w:val="960"/>
    <w:uiPriority w:val="0"/>
    <w:qFormat/>
    <w:rPr>
      <w:rFonts w:hint="eastAsia" w:ascii="宋体" w:hAnsi="宋体" w:eastAsia="宋体" w:cs="宋体"/>
      <w:color w:val="000000"/>
      <w:sz w:val="28"/>
      <w:szCs w:val="28"/>
      <w:u w:val="none"/>
      <w:vertAlign w:val="superscript"/>
    </w:rPr>
  </w:style>
  <w:style w:type="character" w:styleId="1013" w:customStyle="1">
    <w:name w:val="awspan"/>
    <w:uiPriority w:val="0"/>
    <w:qFormat/>
  </w:style>
  <w:style w:type="paragraph" w:styleId="1014" w:customStyle="1">
    <w:name w:val="表格文本"/>
    <w:basedOn w:val="705"/>
    <w:uiPriority w:val="0"/>
    <w:qFormat/>
    <w:pPr>
      <w:jc w:val="center"/>
    </w:pPr>
    <w:rPr>
      <w:rFonts w:ascii="宋体" w:hAnsi="宋体"/>
      <w:bCs/>
      <w:szCs w:val="21"/>
    </w:rPr>
  </w:style>
  <w:style w:type="character" w:styleId="1015" w:customStyle="1">
    <w:name w:val="awspan1"/>
    <w:uiPriority w:val="0"/>
    <w:qFormat/>
    <w:rPr>
      <w:color w:val="000000"/>
      <w:sz w:val="24"/>
      <w:szCs w:val="24"/>
    </w:rPr>
  </w:style>
  <w:style w:type="paragraph" w:styleId="1016" w:customStyle="1">
    <w:name w:val="[基本段落]"/>
    <w:basedOn w:val="705"/>
    <w:uiPriority w:val="99"/>
    <w:qFormat/>
    <w:pPr>
      <w:spacing w:line="288" w:lineRule="auto"/>
    </w:pPr>
    <w:rPr>
      <w:rFonts w:ascii="宋体" w:cs="宋体"/>
      <w:color w:val="000000"/>
      <w:sz w:val="24"/>
      <w:lang w:val="zh-CN"/>
    </w:rPr>
  </w:style>
  <w:style w:type="character" w:styleId="1017" w:customStyle="1">
    <w:name w:val="font01"/>
    <w:uiPriority w:val="0"/>
    <w:qFormat/>
    <w:rPr>
      <w:rFonts w:hint="eastAsia" w:ascii="宋体" w:hAnsi="宋体" w:eastAsia="宋体" w:cs="宋体"/>
      <w:color w:val="000000"/>
      <w:sz w:val="18"/>
      <w:szCs w:val="18"/>
      <w:u w:val="none"/>
    </w:rPr>
  </w:style>
  <w:style w:type="paragraph" w:styleId="1018" w:customStyle="1">
    <w:name w:val="列表段落1"/>
    <w:basedOn w:val="705"/>
    <w:uiPriority w:val="0"/>
    <w:qFormat/>
    <w:pPr>
      <w:ind w:firstLine="420"/>
    </w:pPr>
    <w:rPr>
      <w:rFonts w:ascii="Calibri" w:hAnsi="Calibri"/>
      <w:szCs w:val="22"/>
    </w:rPr>
  </w:style>
  <w:style w:type="paragraph" w:styleId="1019" w:customStyle="1">
    <w:name w:val="样式 首行缩进:  2 字符"/>
    <w:basedOn w:val="705"/>
    <w:uiPriority w:val="0"/>
    <w:qFormat/>
    <w:pPr>
      <w:ind w:firstLine="200"/>
      <w:spacing w:line="400" w:lineRule="exact"/>
    </w:pPr>
    <w:rPr>
      <w:rFonts w:ascii="Calibri" w:hAnsi="Calibri" w:cs="宋体"/>
      <w:sz w:val="24"/>
    </w:rPr>
  </w:style>
  <w:style w:type="paragraph" w:styleId="1020" w:customStyle="1">
    <w:name w:val="标题 41"/>
    <w:basedOn w:val="803"/>
    <w:next w:val="803"/>
    <w:uiPriority w:val="0"/>
    <w:qFormat/>
    <w:pPr>
      <w:keepLines/>
      <w:keepNext/>
      <w:spacing w:before="280" w:after="290" w:line="376" w:lineRule="auto"/>
      <w:outlineLvl w:val="3"/>
    </w:pPr>
    <w:rPr>
      <w:rFonts w:ascii="Cambria" w:hAnsi="Cambria"/>
      <w:b/>
      <w:bCs/>
      <w:sz w:val="28"/>
      <w:szCs w:val="28"/>
    </w:rPr>
  </w:style>
  <w:style w:type="character" w:styleId="1021" w:customStyle="1">
    <w:name w:val="NormalCharacter1"/>
    <w:uiPriority w:val="0"/>
    <w:qFormat/>
    <w:rPr>
      <w:sz w:val="21"/>
      <w:szCs w:val="24"/>
      <w:lang w:val="en-US" w:eastAsia="zh-CN" w:bidi="ar-SA"/>
    </w:rPr>
  </w:style>
  <w:style w:type="paragraph" w:styleId="1022" w:customStyle="1">
    <w:name w:val="正文360首行缩进"/>
    <w:basedOn w:val="705"/>
    <w:uiPriority w:val="0"/>
    <w:qFormat/>
    <w:pPr>
      <w:ind w:firstLine="200"/>
      <w:spacing w:before="120" w:line="300" w:lineRule="auto"/>
    </w:pPr>
    <w:rPr>
      <w:szCs w:val="20"/>
    </w:rPr>
  </w:style>
  <w:style w:type="paragraph" w:styleId="1023" w:customStyle="1">
    <w:name w:val="BodyTextIndent1"/>
    <w:basedOn w:val="705"/>
    <w:next w:val="1024"/>
    <w:uiPriority w:val="0"/>
    <w:qFormat/>
    <w:pPr>
      <w:ind w:left="420"/>
      <w:spacing w:after="120"/>
    </w:pPr>
  </w:style>
  <w:style w:type="paragraph" w:styleId="1024" w:customStyle="1">
    <w:name w:val="EnvelopeReturn1"/>
    <w:basedOn w:val="705"/>
    <w:uiPriority w:val="0"/>
    <w:qFormat/>
    <w:rPr>
      <w:rFonts w:ascii="Arial" w:hAnsi="Arial"/>
    </w:rPr>
  </w:style>
  <w:style w:type="character" w:styleId="1025" w:customStyle="1">
    <w:name w:val="font21"/>
    <w:basedOn w:val="960"/>
    <w:uiPriority w:val="0"/>
    <w:qFormat/>
    <w:rPr>
      <w:rFonts w:hint="eastAsia" w:ascii="宋体" w:hAnsi="宋体" w:eastAsia="宋体" w:cs="宋体"/>
      <w:color w:val="ff0000"/>
      <w:sz w:val="22"/>
      <w:szCs w:val="22"/>
      <w:u w:val="none"/>
    </w:rPr>
  </w:style>
  <w:style w:type="paragraph" w:styleId="1026" w:customStyle="1">
    <w:name w:val="UserStyle_291"/>
    <w:uiPriority w:val="0"/>
    <w:qFormat/>
    <w:rPr>
      <w:rFonts w:hint="default" w:ascii="黑体" w:hAnsi="黑体" w:eastAsia="黑体" w:cs="Times New Roman"/>
      <w:b/>
      <w:sz w:val="32"/>
      <w:szCs w:val="24"/>
      <w:lang w:val="en-US" w:eastAsia="zh-CN" w:bidi="ar-SA"/>
    </w:rPr>
  </w:style>
  <w:style w:type="paragraph" w:styleId="1027" w:customStyle="1">
    <w:name w:val="目录 11"/>
    <w:basedOn w:val="797"/>
    <w:next w:val="797"/>
    <w:uiPriority w:val="0"/>
    <w:qFormat/>
    <w:pPr>
      <w:jc w:val="left"/>
      <w:spacing w:after="100" w:line="259" w:lineRule="auto"/>
      <w:widowControl/>
    </w:pPr>
    <w:rPr>
      <w:rFonts w:ascii="Calibri" w:hAnsi="Calibri"/>
      <w:sz w:val="22"/>
      <w:szCs w:val="22"/>
    </w:rPr>
  </w:style>
  <w:style w:type="character" w:styleId="1028" w:customStyle="1">
    <w:name w:val="font91"/>
    <w:basedOn w:val="960"/>
    <w:uiPriority w:val="0"/>
    <w:qFormat/>
    <w:rPr>
      <w:rFonts w:hint="eastAsia" w:ascii="宋体" w:hAnsi="宋体" w:eastAsia="宋体" w:cs="宋体"/>
      <w:color w:val="ff0000"/>
      <w:sz w:val="22"/>
      <w:szCs w:val="22"/>
      <w:u w:val="none"/>
    </w:rPr>
  </w:style>
  <w:style w:type="character" w:styleId="1029" w:customStyle="1">
    <w:name w:val="font112"/>
    <w:basedOn w:val="960"/>
    <w:uiPriority w:val="0"/>
    <w:qFormat/>
    <w:rPr>
      <w:rFonts w:hint="eastAsia" w:ascii="宋体" w:hAnsi="宋体" w:eastAsia="宋体" w:cs="宋体"/>
      <w:color w:val="000000"/>
      <w:sz w:val="22"/>
      <w:szCs w:val="22"/>
      <w:u w:val="none"/>
    </w:rPr>
  </w:style>
  <w:style w:type="paragraph" w:styleId="1030" w:customStyle="1">
    <w:name w:val="正文文本 21"/>
    <w:basedOn w:val="705"/>
    <w:uiPriority w:val="0"/>
    <w:qFormat/>
    <w:pPr>
      <w:ind w:firstLine="640"/>
      <w:jc w:val="center"/>
      <w:spacing w:line="300" w:lineRule="auto"/>
    </w:pPr>
    <w:rPr>
      <w:rFonts w:hint="eastAsia" w:ascii="宋体" w:hAnsi="宋体"/>
    </w:rPr>
  </w:style>
  <w:style w:type="paragraph" w:styleId="1031" w:customStyle="1">
    <w:name w:val="正文1111"/>
    <w:next w:val="10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目录 112"/>
    <w:basedOn w:val="1031"/>
    <w:next w:val="1031"/>
    <w:uiPriority w:val="0"/>
    <w:qFormat/>
  </w:style>
  <w:style w:type="paragraph" w:styleId="1033" w:customStyle="1">
    <w:name w:val="Default"/>
    <w:uiPriority w:val="0"/>
    <w:qFormat/>
    <w:pPr>
      <w:widowControl w:val="off"/>
    </w:pPr>
    <w:rPr>
      <w:rFonts w:hint="default" w:ascii="宋体" w:hAnsi="Courier New" w:eastAsia="宋体" w:cs="黑体"/>
      <w:color w:val="000000"/>
      <w:sz w:val="24"/>
      <w:lang w:val="en-US" w:eastAsia="zh-CN" w:bidi="ar-SA"/>
    </w:rPr>
  </w:style>
  <w:style w:type="paragraph" w:styleId="1034" w:customStyle="1">
    <w:name w:val="公文正文"/>
    <w:basedOn w:val="705"/>
    <w:uiPriority w:val="0"/>
    <w:qFormat/>
    <w:pPr>
      <w:ind w:firstLine="200"/>
      <w:spacing w:line="560" w:lineRule="exact"/>
    </w:pPr>
    <w:rPr>
      <w:rFonts w:ascii="仿宋_GB2312" w:hAnsi="仿宋_GB2312" w:eastAsia="仿宋_GB2312" w:cs="仿宋_GB2312"/>
      <w:sz w:val="32"/>
      <w:szCs w:val="32"/>
      <w:lang w:val="zh-CN"/>
    </w:rPr>
  </w:style>
  <w:style w:type="paragraph" w:styleId="1035" w:customStyle="1">
    <w:name w:val="Table Text"/>
    <w:basedOn w:val="705"/>
    <w:uiPriority w:val="0"/>
    <w:semiHidden/>
    <w:qFormat/>
    <w:rPr>
      <w:rFonts w:ascii="宋体" w:hAnsi="宋体" w:cs="宋体"/>
      <w:sz w:val="20"/>
      <w:szCs w:val="20"/>
    </w:rPr>
  </w:style>
  <w:style w:type="paragraph" w:styleId="1036" w:customStyle="1">
    <w:name w:val="表格"/>
    <w:basedOn w:val="705"/>
    <w:uiPriority w:val="0"/>
    <w:qFormat/>
    <w:pPr>
      <w:ind w:firstLine="0"/>
      <w:jc w:val="center"/>
      <w:spacing w:line="240" w:lineRule="auto"/>
    </w:pPr>
    <w:rPr>
      <w:rFonts w:hint="eastAsia"/>
    </w:rPr>
  </w:style>
  <w:style w:type="paragraph" w:styleId="1037" w:customStyle="1">
    <w:name w:val="Heading 4"/>
    <w:basedOn w:val="705"/>
    <w:next w:val="705"/>
    <w:uiPriority w:val="0"/>
    <w:qFormat/>
    <w:pPr>
      <w:jc w:val="center"/>
      <w:keepNext/>
      <w:outlineLvl w:val="3"/>
    </w:pPr>
    <w:rPr>
      <w:rFonts w:eastAsia="新宋体"/>
      <w:sz w:val="30"/>
      <w:szCs w:val="21"/>
    </w:rPr>
  </w:style>
  <w:style w:type="paragraph" w:styleId="1038" w:customStyle="1">
    <w:name w:val="标题 211"/>
    <w:basedOn w:val="705"/>
    <w:next w:val="705"/>
    <w:uiPriority w:val="0"/>
    <w:qFormat/>
    <w:pPr>
      <w:keepLines/>
      <w:keepNext/>
      <w:spacing w:before="260" w:after="260" w:line="416" w:lineRule="auto"/>
      <w:outlineLvl w:val="1"/>
    </w:pPr>
    <w:rPr>
      <w:rFonts w:ascii="Arial" w:hAnsi="Arial" w:eastAsia="黑体"/>
      <w:b/>
      <w:bCs/>
      <w:sz w:val="32"/>
      <w:szCs w:val="32"/>
    </w:rPr>
  </w:style>
  <w:style w:type="paragraph" w:styleId="1039" w:customStyle="1">
    <w:name w:val="文本块111"/>
    <w:basedOn w:val="705"/>
    <w:uiPriority w:val="6"/>
    <w:qFormat/>
    <w:pPr>
      <w:ind w:left="256" w:right="6" w:firstLine="624"/>
    </w:pPr>
    <w:rPr>
      <w:rFonts w:ascii="Times New Roman" w:hAnsi="Times New Roman" w:eastAsia="仿宋" w:cs="Times New Roman"/>
      <w:sz w:val="28"/>
      <w:szCs w:val="20"/>
    </w:rPr>
  </w:style>
  <w:style w:type="paragraph" w:styleId="1040" w:customStyle="1">
    <w:name w:val="footer1"/>
    <w:basedOn w:val="705"/>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41" w:customStyle="1">
    <w:name w:val="正文_16_0_0"/>
    <w:next w:val="705"/>
    <w:uiPriority w:val="0"/>
    <w:qFormat/>
    <w:pPr>
      <w:jc w:val="both"/>
      <w:widowControl w:val="off"/>
    </w:pPr>
    <w:rPr>
      <w:rFonts w:hint="default" w:ascii="Calibri" w:hAnsi="Calibri" w:eastAsia="宋体" w:cs="Times New Roman"/>
      <w:sz w:val="21"/>
      <w:szCs w:val="22"/>
      <w:lang w:val="en-US" w:eastAsia="zh-CN" w:bidi="ar-SA"/>
    </w:rPr>
  </w:style>
  <w:style w:type="character" w:styleId="1042" w:customStyle="1">
    <w:name w:val="标题 1 字符"/>
    <w:link w:val="706"/>
    <w:uiPriority w:val="0"/>
    <w:qFormat/>
    <w:rPr>
      <w:rFonts w:ascii="仿宋" w:hAnsi="仿宋" w:eastAsia="仿宋" w:cs="仿宋"/>
      <w:b/>
      <w:bCs/>
      <w:sz w:val="30"/>
      <w:szCs w:val="30"/>
      <w:lang w:val="zh-CN" w:bidi="zh-CN"/>
    </w:rPr>
  </w:style>
  <w:style w:type="numbering" w:styleId="6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胡楠</cp:lastModifiedBy>
  <cp:revision>27</cp:revision>
  <dcterms:created xsi:type="dcterms:W3CDTF">2021-06-11T03:05:00Z</dcterms:created>
  <dcterms:modified xsi:type="dcterms:W3CDTF">2025-12-16T07:24:45Z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90EB033A3A2C4E19A2404630D8670BA1_13</vt:lpwstr>
  </property>
  <property fmtid="{D5CDD505-2E9C-101B-9397-08002B2CF9AE}" pid="4" name="KSOTemplateDocerSaveRecord">
    <vt:lpwstr>eyJoZGlkIjoiMjRlNGRlZDBiMDY4Y2UyODY5ZDA3ZmZhZjg2ZTQzNzMiLCJ1c2VySWQiOiIyNTI2OTgzMDkifQ==</vt:lpwstr>
  </property>
</Properties>
</file>